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A1628" w:val="clear"/>
            <w:tcMar>
              <w:top w:type="dxa" w:w="600"/>
              <w:left w:type="dxa" w:w="600"/>
              <w:bottom w:type="dxa" w:w="400"/>
              <w:right w:type="dxa" w:w="600"/>
            </w:tcMar>
          </w:tcPr>
          <w:p>
            <w:pPr>
              <w:spacing w:before="0" w:after="60"/>
              <w:jc w:val="center"/>
            </w:pPr>
            <w:r>
              <w:rPr>
                <w:rFonts w:ascii="Arial" w:cs="Arial" w:eastAsia="Arial" w:hAnsi="Arial"/>
                <w:b/>
                <w:bCs/>
                <w:color w:val="C9A84C"/>
                <w:sz w:val="96"/>
                <w:szCs w:val="96"/>
              </w:rPr>
              <w:t xml:space="preserve">GEMI</w:t>
            </w:r>
          </w:p>
          <w:p>
            <w:pPr>
              <w:spacing w:before="0" w:after="120"/>
              <w:jc w:val="center"/>
            </w:pPr>
            <w:r>
              <w:rPr>
                <w:rFonts w:ascii="Arial" w:cs="Arial" w:eastAsia="Arial" w:hAnsi="Arial"/>
                <w:b w:val="false"/>
                <w:bCs w:val="false"/>
                <w:color w:val="FFFFFF"/>
                <w:sz w:val="64"/>
                <w:szCs w:val="64"/>
              </w:rPr>
              <w:t xml:space="preserve">TOKEN</w:t>
            </w:r>
          </w:p>
          <w:p>
            <w:pPr>
              <w:pBdr>
                <w:top w:val="single" w:color="C9A84C" w:sz="2" w:space="2"/>
              </w:pBdr>
              <w:spacing w:before="0" w:after="0"/>
              <w:jc w:val="center"/>
            </w:pPr>
            <w:r>
              <w:rPr>
                <w:rFonts w:ascii="Arial" w:cs="Arial" w:eastAsia="Arial" w:hAnsi="Arial"/>
                <w:sz w:val="20"/>
                <w:szCs w:val="20"/>
              </w:rPr>
              <w:t xml:space="preserve"/>
            </w:r>
          </w:p>
          <w:p>
            <w:pPr>
              <w:spacing w:before="120" w:after="60"/>
              <w:jc w:val="center"/>
            </w:pPr>
            <w:r>
              <w:rPr>
                <w:rFonts w:ascii="Arial" w:cs="Arial" w:eastAsia="Arial" w:hAnsi="Arial"/>
                <w:i/>
                <w:iCs/>
                <w:color w:val="A8BEDD"/>
                <w:sz w:val="32"/>
                <w:szCs w:val="32"/>
              </w:rPr>
              <w:t xml:space="preserve">Official Whitepaper</w:t>
            </w:r>
          </w:p>
          <w:p>
            <w:pPr>
              <w:spacing w:before="0" w:after="200"/>
              <w:jc w:val="center"/>
            </w:pPr>
            <w:r>
              <w:rPr>
                <w:rFonts w:ascii="Arial" w:cs="Arial" w:eastAsia="Arial" w:hAnsi="Arial"/>
                <w:color w:val="7090B8"/>
                <w:sz w:val="22"/>
                <w:szCs w:val="22"/>
              </w:rPr>
              <w:t xml:space="preserve">Version 2.0  |  2026</w:t>
            </w:r>
          </w:p>
        </w:tc>
      </w:tr>
    </w:tbl>
    <w:p>
      <w:pPr>
        <w:spacing w:before="20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W w:type="dxa" w:w="2520"/>
            <w:tcBorders>
              <w:top w:val="single" w:color="C5CFE8" w:sz="1"/>
              <w:left w:val="single" w:color="C5CFE8" w:sz="1"/>
              <w:bottom w:val="single" w:color="C5CFE8" w:sz="1"/>
              <w:right w:val="single" w:color="C5CFE8" w:sz="1"/>
            </w:tcBorders>
            <w:shd w:fill="EBF0FA" w:val="clear"/>
            <w:tcMar>
              <w:top w:type="dxa" w:w="120"/>
              <w:left w:type="dxa" w:w="140"/>
              <w:bottom w:type="dxa" w:w="120"/>
              <w:right w:type="dxa" w:w="140"/>
            </w:tcMar>
          </w:tcPr>
          <w:p>
            <w:pPr>
              <w:jc w:val="center"/>
            </w:pPr>
            <w:r>
              <w:rPr>
                <w:rFonts w:ascii="Arial" w:cs="Arial" w:eastAsia="Arial" w:hAnsi="Arial"/>
                <w:color w:val="4A5568"/>
                <w:sz w:val="16"/>
                <w:szCs w:val="16"/>
              </w:rPr>
              <w:t xml:space="preserve">Token</w:t>
            </w:r>
          </w:p>
          <w:p>
            <w:pPr>
              <w:jc w:val="center"/>
            </w:pPr>
            <w:r>
              <w:rPr>
                <w:rFonts w:ascii="Arial" w:cs="Arial" w:eastAsia="Arial" w:hAnsi="Arial"/>
                <w:b/>
                <w:bCs/>
                <w:color w:val="0A1628"/>
                <w:sz w:val="22"/>
                <w:szCs w:val="22"/>
              </w:rPr>
              <w:t xml:space="preserve">GEMI</w:t>
            </w:r>
          </w:p>
        </w:tc>
        <w:tc>
          <w:tcPr>
            <w:tcW w:type="dxa" w:w="2520"/>
            <w:tcBorders>
              <w:top w:val="single" w:color="C5CFE8" w:sz="1"/>
              <w:left w:val="single" w:color="C5CFE8" w:sz="1"/>
              <w:bottom w:val="single" w:color="C5CFE8" w:sz="1"/>
              <w:right w:val="single" w:color="C5CFE8" w:sz="1"/>
            </w:tcBorders>
            <w:shd w:fill="EBF0FA" w:val="clear"/>
            <w:tcMar>
              <w:top w:type="dxa" w:w="120"/>
              <w:left w:type="dxa" w:w="140"/>
              <w:bottom w:type="dxa" w:w="120"/>
              <w:right w:type="dxa" w:w="140"/>
            </w:tcMar>
          </w:tcPr>
          <w:p>
            <w:pPr>
              <w:jc w:val="center"/>
            </w:pPr>
            <w:r>
              <w:rPr>
                <w:rFonts w:ascii="Arial" w:cs="Arial" w:eastAsia="Arial" w:hAnsi="Arial"/>
                <w:color w:val="4A5568"/>
                <w:sz w:val="16"/>
                <w:szCs w:val="16"/>
              </w:rPr>
              <w:t xml:space="preserve">Blockchain</w:t>
            </w:r>
          </w:p>
          <w:p>
            <w:pPr>
              <w:jc w:val="center"/>
            </w:pPr>
            <w:r>
              <w:rPr>
                <w:rFonts w:ascii="Arial" w:cs="Arial" w:eastAsia="Arial" w:hAnsi="Arial"/>
                <w:b/>
                <w:bCs/>
                <w:color w:val="0A1628"/>
                <w:sz w:val="22"/>
                <w:szCs w:val="22"/>
              </w:rPr>
              <w:t xml:space="preserve">TON</w:t>
            </w:r>
          </w:p>
        </w:tc>
        <w:tc>
          <w:tcPr>
            <w:tcW w:type="dxa" w:w="2520"/>
            <w:tcBorders>
              <w:top w:val="single" w:color="C5CFE8" w:sz="1"/>
              <w:left w:val="single" w:color="C5CFE8" w:sz="1"/>
              <w:bottom w:val="single" w:color="C5CFE8" w:sz="1"/>
              <w:right w:val="single" w:color="C5CFE8" w:sz="1"/>
            </w:tcBorders>
            <w:shd w:fill="EBF0FA" w:val="clear"/>
            <w:tcMar>
              <w:top w:type="dxa" w:w="120"/>
              <w:left w:type="dxa" w:w="140"/>
              <w:bottom w:type="dxa" w:w="120"/>
              <w:right w:type="dxa" w:w="140"/>
            </w:tcMar>
          </w:tcPr>
          <w:p>
            <w:pPr>
              <w:jc w:val="center"/>
            </w:pPr>
            <w:r>
              <w:rPr>
                <w:rFonts w:ascii="Arial" w:cs="Arial" w:eastAsia="Arial" w:hAnsi="Arial"/>
                <w:color w:val="4A5568"/>
                <w:sz w:val="16"/>
                <w:szCs w:val="16"/>
              </w:rPr>
              <w:t xml:space="preserve">Standard</w:t>
            </w:r>
          </w:p>
          <w:p>
            <w:pPr>
              <w:jc w:val="center"/>
            </w:pPr>
            <w:r>
              <w:rPr>
                <w:rFonts w:ascii="Arial" w:cs="Arial" w:eastAsia="Arial" w:hAnsi="Arial"/>
                <w:b/>
                <w:bCs/>
                <w:color w:val="0A1628"/>
                <w:sz w:val="22"/>
                <w:szCs w:val="22"/>
              </w:rPr>
              <w:t xml:space="preserve">Jetton 2.0</w:t>
            </w:r>
          </w:p>
        </w:tc>
        <w:tc>
          <w:tcPr>
            <w:tcW w:type="dxa" w:w="2520"/>
            <w:tcBorders>
              <w:top w:val="single" w:color="C5CFE8" w:sz="1"/>
              <w:left w:val="single" w:color="C5CFE8" w:sz="1"/>
              <w:bottom w:val="single" w:color="C5CFE8" w:sz="1"/>
              <w:right w:val="single" w:color="C5CFE8" w:sz="1"/>
            </w:tcBorders>
            <w:shd w:fill="EBF0FA" w:val="clear"/>
            <w:tcMar>
              <w:top w:type="dxa" w:w="120"/>
              <w:left w:type="dxa" w:w="140"/>
              <w:bottom w:type="dxa" w:w="120"/>
              <w:right w:type="dxa" w:w="140"/>
            </w:tcMar>
          </w:tcPr>
          <w:p>
            <w:pPr>
              <w:jc w:val="center"/>
            </w:pPr>
            <w:r>
              <w:rPr>
                <w:rFonts w:ascii="Arial" w:cs="Arial" w:eastAsia="Arial" w:hAnsi="Arial"/>
                <w:color w:val="4A5568"/>
                <w:sz w:val="16"/>
                <w:szCs w:val="16"/>
              </w:rPr>
              <w:t xml:space="preserve">Total Supply</w:t>
            </w:r>
          </w:p>
          <w:p>
            <w:pPr>
              <w:jc w:val="center"/>
            </w:pPr>
            <w:r>
              <w:rPr>
                <w:rFonts w:ascii="Arial" w:cs="Arial" w:eastAsia="Arial" w:hAnsi="Arial"/>
                <w:b/>
                <w:bCs/>
                <w:color w:val="0A1628"/>
                <w:sz w:val="22"/>
                <w:szCs w:val="22"/>
              </w:rPr>
              <w:t xml:space="preserve">1,000,000,000</w:t>
            </w:r>
          </w:p>
        </w:tc>
      </w:tr>
    </w:tbl>
    <w:p>
      <w:pPr>
        <w:spacing w:before="200" w:after="0"/>
      </w:pPr>
      <w:r>
        <w:t xml:space="preserve"/>
      </w:r>
    </w:p>
    <w:p>
      <w:pPr>
        <w:jc w:val="center"/>
      </w:pPr>
      <w:r>
        <w:rPr>
          <w:rFonts w:ascii="Arial" w:cs="Arial" w:eastAsia="Arial" w:hAnsi="Arial"/>
          <w:color w:val="4A5568"/>
          <w:sz w:val="20"/>
          <w:szCs w:val="20"/>
        </w:rPr>
        <w:t xml:space="preserve">Gemifaucet  |  Telegram Mini-App  |  TON Blockchain</w:t>
      </w:r>
    </w:p>
    <w:p>
      <w:pPr>
        <w:spacing w:before="100" w:after="0"/>
      </w:pPr>
      <w:r>
        <w:t xml:space="preserve"/>
      </w:r>
    </w:p>
    <w:p>
      <w:pPr>
        <w:pBdr>
          <w:bottom w:val="single" w:color="C5CFE8" w:sz="2" w:space="2"/>
        </w:pBdr>
        <w:jc w:val="center"/>
      </w:pPr>
      <w:r>
        <w:rPr>
          <w:rFonts w:ascii="Arial" w:cs="Arial" w:eastAsia="Arial" w:hAnsi="Arial"/>
          <w:sz w:val="20"/>
          <w:szCs w:val="20"/>
        </w:rPr>
        <w:t xml:space="preserve"/>
      </w:r>
    </w:p>
    <w:p>
      <w:pPr>
        <w:spacing w:before="120" w:after="0"/>
      </w:pPr>
      <w:r>
        <w:t xml:space="preserve"/>
      </w:r>
    </w:p>
    <w:p>
      <w:pPr>
        <w:jc w:val="center"/>
      </w:pPr>
      <w:r>
        <w:rPr>
          <w:rFonts w:ascii="Arial" w:cs="Arial" w:eastAsia="Arial" w:hAnsi="Arial"/>
          <w:i/>
          <w:iCs/>
          <w:color w:val="4A5568"/>
          <w:sz w:val="16"/>
          <w:szCs w:val="16"/>
        </w:rPr>
        <w:t xml:space="preserve">LEGAL DISCLAIMER: This document is for informational purposes only and does not constitute financial or investment advice. Purchasing GEMI tokens is for utility use within the Gemifaucet application only and does not represent equity, profit-sharing, or investment in any entity. Digital assets are subject to extreme market volatility and may lose all value. Residents of the United States, China, and other restricted jurisdictions are prohibited from participating in the presale. Please read the full Legal Disclosures section before proceeding.</w:t>
      </w:r>
    </w:p>
    <w:p>
      <w:r>
        <w:br w:type="page"/>
      </w:r>
    </w:p>
    <w:p>
      <w:pPr>
        <w:sectPr>
          <w:pgSz w:w="12240" w:h="15840" w:orient="portrait"/>
          <w:pgMar w:top="720" w:right="1080" w:bottom="720" w:left="1080" w:header="708" w:footer="708" w:gutter="0"/>
          <w:pgNumType/>
          <w:docGrid w:linePitch="360"/>
        </w:sectPr>
      </w:pPr>
    </w:p>
    <w:p>
      <w:pPr>
        <w:pStyle w:val="Heading1"/>
        <w:pBdr>
          <w:bottom w:val="single" w:color="C9A84C" w:sz="4" w:space="4"/>
        </w:pBdr>
        <w:spacing w:before="400" w:after="160"/>
      </w:pPr>
      <w:r>
        <w:rPr>
          <w:rFonts w:ascii="Arial" w:cs="Arial" w:eastAsia="Arial" w:hAnsi="Arial"/>
          <w:b/>
          <w:bCs/>
          <w:color w:val="0A1628"/>
          <w:sz w:val="32"/>
          <w:szCs w:val="32"/>
        </w:rPr>
        <w:t xml:space="preserve">1. Executive Summary</w:t>
      </w:r>
    </w:p>
    <w:p>
      <w:pPr>
        <w:spacing w:before="80" w:after="80" w:line="280"/>
        <w:jc w:val="both"/>
      </w:pPr>
      <w:r>
        <w:rPr>
          <w:rFonts w:ascii="Arial" w:cs="Arial" w:eastAsia="Arial" w:hAnsi="Arial"/>
          <w:color w:val="1A2A44"/>
          <w:sz w:val="20"/>
          <w:szCs w:val="20"/>
        </w:rPr>
        <w:t xml:space="preserve">GEMI is the native utility token of Gemifaucet, a Telegram Mini-App (TMA) built on the TON blockchain. Gemifaucet delivers a gamified micro-economy where users mine, earn, spend, and trade GEMI within an integrated Telegram environment. Unlike speculative tokens, GEMI is designed as a high-velocity utility asset with quantifiable demand drivers, sustainable emission controls, and institutional-grade liquidity architecture.</w:t>
      </w:r>
    </w:p>
    <w:p>
      <w:pPr>
        <w:spacing w:before="80" w:after="0"/>
      </w:pPr>
      <w:r>
        <w:t xml:space="preserve"/>
      </w:r>
    </w:p>
    <w:p>
      <w:pPr>
        <w:spacing w:before="80" w:after="80" w:line="280"/>
        <w:jc w:val="both"/>
      </w:pPr>
      <w:r>
        <w:rPr>
          <w:rFonts w:ascii="Arial" w:cs="Arial" w:eastAsia="Arial" w:hAnsi="Arial"/>
          <w:color w:val="1A2A44"/>
          <w:sz w:val="20"/>
          <w:szCs w:val="20"/>
        </w:rPr>
        <w:t xml:space="preserve">The GEMI ecosystem is architected to bridge the gap between casual Telegram engagement and genuine decentralized finance participation. By combining a proven tap-to-earn onboarding model with sophisticated tokenomic mechanics — including asymptotic emission curves, on-chain vesting, and a multi-sink deflationary burn model — GEMI is engineered for long-term ecosystem health rather than short-term liquidity events.</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8"/>
              <w:bottom w:val="none" w:color="FFFFFF" w:sz="0"/>
              <w:right w:val="none" w:color="FFFFFF" w:sz="0"/>
            </w:tcBorders>
            <w:shd w:fill="1E3A6E" w:val="clear"/>
            <w:tcMar>
              <w:top w:type="dxa" w:w="120"/>
              <w:left w:type="dxa" w:w="200"/>
              <w:bottom w:type="dxa" w:w="120"/>
              <w:right w:type="dxa" w:w="200"/>
            </w:tcMar>
          </w:tcPr>
          <w:p>
            <w:pPr>
              <w:spacing w:before="60" w:after="80"/>
            </w:pPr>
            <w:r>
              <w:rPr>
                <w:rFonts w:ascii="Arial" w:cs="Arial" w:eastAsia="Arial" w:hAnsi="Arial"/>
                <w:b/>
                <w:bCs/>
                <w:color w:val="C9A84C"/>
                <w:sz w:val="20"/>
                <w:szCs w:val="20"/>
              </w:rPr>
              <w:t xml:space="preserve">Key Objectives</w:t>
            </w:r>
          </w:p>
          <w:p>
            <w:pPr>
              <w:pStyle w:val="ListParagraph"/>
              <w:numPr>
                <w:ilvl w:val="0"/>
                <w:numId w:val="2"/>
              </w:numPr>
              <w:spacing w:before="30" w:after="30"/>
            </w:pPr>
            <w:r>
              <w:rPr>
                <w:rFonts w:ascii="Arial" w:cs="Arial" w:eastAsia="Arial" w:hAnsi="Arial"/>
                <w:color w:val="E8EEF8"/>
                <w:sz w:val="19"/>
                <w:szCs w:val="19"/>
              </w:rPr>
              <w:t xml:space="preserve">Raise a minimum of $50,000 USD in presale capital to establish deep, slippage-resistant liquidity on STON.fi</w:t>
            </w:r>
          </w:p>
          <w:p>
            <w:pPr>
              <w:pStyle w:val="ListParagraph"/>
              <w:numPr>
                <w:ilvl w:val="0"/>
                <w:numId w:val="2"/>
              </w:numPr>
              <w:spacing w:before="30" w:after="30"/>
            </w:pPr>
            <w:r>
              <w:rPr>
                <w:rFonts w:ascii="Arial" w:cs="Arial" w:eastAsia="Arial" w:hAnsi="Arial"/>
                <w:color w:val="E8EEF8"/>
                <w:sz w:val="19"/>
                <w:szCs w:val="19"/>
              </w:rPr>
              <w:t xml:space="preserve">Deploy GEMI as a Jetton 2.0 token with shardchain-optimized smart contracts on TON</w:t>
            </w:r>
          </w:p>
          <w:p>
            <w:pPr>
              <w:pStyle w:val="ListParagraph"/>
              <w:numPr>
                <w:ilvl w:val="0"/>
                <w:numId w:val="2"/>
              </w:numPr>
              <w:spacing w:before="30" w:after="30"/>
            </w:pPr>
            <w:r>
              <w:rPr>
                <w:rFonts w:ascii="Arial" w:cs="Arial" w:eastAsia="Arial" w:hAnsi="Arial"/>
                <w:color w:val="E8EEF8"/>
                <w:sz w:val="19"/>
                <w:szCs w:val="19"/>
              </w:rPr>
              <w:t xml:space="preserve">Implement fully on-chain vesting via TEP-74 standard contracts for all team and treasury allocations</w:t>
            </w:r>
          </w:p>
          <w:p>
            <w:pPr>
              <w:pStyle w:val="ListParagraph"/>
              <w:numPr>
                <w:ilvl w:val="0"/>
                <w:numId w:val="2"/>
              </w:numPr>
              <w:spacing w:before="30" w:after="30"/>
            </w:pPr>
            <w:r>
              <w:rPr>
                <w:rFonts w:ascii="Arial" w:cs="Arial" w:eastAsia="Arial" w:hAnsi="Arial"/>
                <w:color w:val="E8EEF8"/>
                <w:sz w:val="19"/>
                <w:szCs w:val="19"/>
              </w:rPr>
              <w:t xml:space="preserve">Build a self-sustaining micro-economy with verified token sinks including burn mechanics, boosters, and in-app commerce</w:t>
            </w:r>
          </w:p>
          <w:p>
            <w:pPr>
              <w:pStyle w:val="ListParagraph"/>
              <w:numPr>
                <w:ilvl w:val="0"/>
                <w:numId w:val="2"/>
              </w:numPr>
              <w:spacing w:before="30" w:after="30"/>
            </w:pPr>
            <w:r>
              <w:rPr>
                <w:rFonts w:ascii="Arial" w:cs="Arial" w:eastAsia="Arial" w:hAnsi="Arial"/>
                <w:color w:val="E8EEF8"/>
                <w:sz w:val="19"/>
                <w:szCs w:val="19"/>
              </w:rPr>
              <w:t xml:space="preserve">Achieve MiCA-compliant documentation and pursue structured listing on STON.fi and DeDust</w:t>
            </w:r>
          </w:p>
          <w:p>
            <w:pPr>
              <w:pStyle w:val="ListParagraph"/>
              <w:numPr>
                <w:ilvl w:val="0"/>
                <w:numId w:val="2"/>
              </w:numPr>
              <w:spacing w:before="30" w:after="30"/>
            </w:pPr>
            <w:r>
              <w:rPr>
                <w:rFonts w:ascii="Arial" w:cs="Arial" w:eastAsia="Arial" w:hAnsi="Arial"/>
                <w:color w:val="E8EEF8"/>
                <w:sz w:val="19"/>
                <w:szCs w:val="19"/>
              </w:rPr>
              <w:t xml:space="preserve">Grow to 50,000+ active wallets within 6 months of Token Generation Event (TGE)</w:t>
            </w:r>
          </w:p>
          <w:p>
            <w:pPr>
              <w:pStyle w:val="ListParagraph"/>
              <w:numPr>
                <w:ilvl w:val="0"/>
                <w:numId w:val="2"/>
              </w:numPr>
              <w:spacing w:before="30" w:after="30"/>
            </w:pPr>
            <w:r>
              <w:rPr>
                <w:rFonts w:ascii="Arial" w:cs="Arial" w:eastAsia="Arial" w:hAnsi="Arial"/>
                <w:color w:val="E8EEF8"/>
                <w:sz w:val="19"/>
                <w:szCs w:val="19"/>
              </w:rPr>
              <w:t xml:space="preserve">Transition to DAO governance by Month 18 to ensure decentralized long-term stewardship</w:t>
            </w:r>
          </w:p>
        </w:tc>
      </w:tr>
    </w:tbl>
    <w:p>
      <w:pPr>
        <w:spacing w:before="80" w:after="0"/>
      </w:pPr>
      <w:r>
        <w:t xml:space="preserve"/>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2. Problem Statement: The Attention Economy Gap</w:t>
      </w:r>
    </w:p>
    <w:p>
      <w:pPr>
        <w:spacing w:before="80" w:after="80" w:line="280"/>
        <w:jc w:val="both"/>
      </w:pPr>
      <w:r>
        <w:rPr>
          <w:rFonts w:ascii="Arial" w:cs="Arial" w:eastAsia="Arial" w:hAnsi="Arial"/>
          <w:color w:val="1A2A44"/>
          <w:sz w:val="20"/>
          <w:szCs w:val="20"/>
        </w:rPr>
        <w:t xml:space="preserve">The TON-based Telegram Mini-App ecosystem has matured rapidly since 2023. What began as a simple tap-to-earn novelty has evolved into a sophisticated attention economy where projects compete not merely for capital, but for the finite daily attention of over 900 million Telegram users. In this environment, three structural problems remain unsolved for emerging projects:</w:t>
      </w:r>
    </w:p>
    <w:p>
      <w:pPr>
        <w:spacing w:before="80" w:after="0"/>
      </w:pPr>
      <w:r>
        <w:t xml:space="preserve"/>
      </w:r>
    </w:p>
    <w:p>
      <w:pPr>
        <w:pStyle w:val="Heading3"/>
        <w:spacing w:before="200" w:after="80"/>
      </w:pPr>
      <w:r>
        <w:rPr>
          <w:rFonts w:ascii="Arial" w:cs="Arial" w:eastAsia="Arial" w:hAnsi="Arial"/>
          <w:b/>
          <w:bCs/>
          <w:color w:val="2E5BA8"/>
          <w:sz w:val="22"/>
          <w:szCs w:val="22"/>
        </w:rPr>
        <w:t xml:space="preserve">2.1  The Reward Dilution Paradox</w:t>
      </w:r>
    </w:p>
    <w:p>
      <w:pPr>
        <w:spacing w:before="80" w:after="80" w:line="280"/>
        <w:jc w:val="both"/>
      </w:pPr>
      <w:r>
        <w:rPr>
          <w:rFonts w:ascii="Arial" w:cs="Arial" w:eastAsia="Arial" w:hAnsi="Arial"/>
          <w:color w:val="1A2A44"/>
          <w:sz w:val="20"/>
          <w:szCs w:val="20"/>
        </w:rPr>
        <w:t xml:space="preserve">Early faucet-based projects suffered from a critical failure: automated bot farms could simulate millions of user interactions, draining the mining reward pool before genuine users could earn meaningful amounts. This created a 'dust allocation' problem where honest users received fractional rewards with negligible real-world value, leading to rapid community collapse. Hamster Kombat's experience of dropping from 300 million to 41 million monthly active users following its September 2024 airdrop is the most prominent case study of this failure mode.</w:t>
      </w:r>
    </w:p>
    <w:p>
      <w:pPr>
        <w:spacing w:before="60" w:after="0"/>
      </w:pPr>
      <w:r>
        <w:t xml:space="preserve"/>
      </w:r>
    </w:p>
    <w:p>
      <w:pPr>
        <w:pStyle w:val="Heading3"/>
        <w:spacing w:before="200" w:after="80"/>
      </w:pPr>
      <w:r>
        <w:rPr>
          <w:rFonts w:ascii="Arial" w:cs="Arial" w:eastAsia="Arial" w:hAnsi="Arial"/>
          <w:b/>
          <w:bCs/>
          <w:color w:val="2E5BA8"/>
          <w:sz w:val="22"/>
          <w:szCs w:val="22"/>
        </w:rPr>
        <w:t xml:space="preserve">2.2  The Friction Gap Between Earning and Spending</w:t>
      </w:r>
    </w:p>
    <w:p>
      <w:pPr>
        <w:spacing w:before="80" w:after="80" w:line="280"/>
        <w:jc w:val="both"/>
      </w:pPr>
      <w:r>
        <w:rPr>
          <w:rFonts w:ascii="Arial" w:cs="Arial" w:eastAsia="Arial" w:hAnsi="Arial"/>
          <w:color w:val="1A2A44"/>
          <w:sz w:val="20"/>
          <w:szCs w:val="20"/>
        </w:rPr>
        <w:t xml:space="preserve">Most mini-app tokens create asymmetric economies: users can earn tokens easily, but the in-app utility for spending them is shallow or absent. Without genuine demand sinks — mechanisms that consume tokens — the natural equilibrium is inflationary collapse. A token that can only be sold, and never purposefully spent, is not a utility token; it is a digital lottery ticket.</w:t>
      </w:r>
    </w:p>
    <w:p>
      <w:pPr>
        <w:spacing w:before="60" w:after="0"/>
      </w:pPr>
      <w:r>
        <w:t xml:space="preserve"/>
      </w:r>
    </w:p>
    <w:p>
      <w:pPr>
        <w:pStyle w:val="Heading3"/>
        <w:spacing w:before="200" w:after="80"/>
      </w:pPr>
      <w:r>
        <w:rPr>
          <w:rFonts w:ascii="Arial" w:cs="Arial" w:eastAsia="Arial" w:hAnsi="Arial"/>
          <w:b/>
          <w:bCs/>
          <w:color w:val="2E5BA8"/>
          <w:sz w:val="22"/>
          <w:szCs w:val="22"/>
        </w:rPr>
        <w:t xml:space="preserve">2.3  The Liquidity Trap</w:t>
      </w:r>
    </w:p>
    <w:p>
      <w:pPr>
        <w:spacing w:before="80" w:after="80" w:line="280"/>
        <w:jc w:val="both"/>
      </w:pPr>
      <w:r>
        <w:rPr>
          <w:rFonts w:ascii="Arial" w:cs="Arial" w:eastAsia="Arial" w:hAnsi="Arial"/>
          <w:color w:val="1A2A44"/>
          <w:sz w:val="20"/>
          <w:szCs w:val="20"/>
        </w:rPr>
        <w:t xml:space="preserve">Small projects launching with insufficient liquidity are immediately vulnerable to extreme price slippage. A liquidity pool with only $20,000 in total value will experience over 5% price impact from a single $1,000 trade, as defined by the constant product formula x * y = k governing AMM-based DEXs. This creates an entry barrier for larger holders and signals institutional-grade fragility to serious investors.</w:t>
      </w:r>
    </w:p>
    <w:p>
      <w:pPr>
        <w:spacing w:before="100" w:after="0"/>
      </w:pPr>
      <w:r>
        <w:t xml:space="preserve"/>
      </w:r>
    </w:p>
    <w:p>
      <w:pPr>
        <w:pStyle w:val="Heading3"/>
        <w:spacing w:before="200" w:after="80"/>
      </w:pPr>
      <w:r>
        <w:rPr>
          <w:rFonts w:ascii="Arial" w:cs="Arial" w:eastAsia="Arial" w:hAnsi="Arial"/>
          <w:b/>
          <w:bCs/>
          <w:color w:val="2E5BA8"/>
          <w:sz w:val="22"/>
          <w:szCs w:val="22"/>
        </w:rPr>
        <w:t xml:space="preserve">2.4  GEMI's Solution Framework</w:t>
      </w:r>
    </w:p>
    <w:p>
      <w:pPr>
        <w:spacing w:before="80" w:after="80" w:line="280"/>
        <w:jc w:val="left"/>
      </w:pPr>
      <w:r>
        <w:rPr>
          <w:rFonts w:ascii="Arial" w:cs="Arial" w:eastAsia="Arial" w:hAnsi="Arial"/>
          <w:color w:val="1A2A44"/>
          <w:sz w:val="20"/>
          <w:szCs w:val="20"/>
        </w:rPr>
        <w:t xml:space="preserve">GEMI addresses each of these problems with a three-pillar solution architecture:</w:t>
      </w:r>
    </w:p>
    <w:p>
      <w:pPr>
        <w:spacing w:before="40" w:after="0"/>
      </w:pPr>
      <w:r>
        <w:t xml:space="preserve"/>
      </w:r>
    </w:p>
    <w:p>
      <w:pPr>
        <w:pStyle w:val="ListParagraph"/>
        <w:numPr>
          <w:ilvl w:val="0"/>
          <w:numId w:val="3"/>
        </w:numPr>
        <w:spacing w:before="40" w:after="40"/>
      </w:pPr>
      <w:r>
        <w:rPr>
          <w:rFonts w:ascii="Arial" w:cs="Arial" w:eastAsia="Arial" w:hAnsi="Arial"/>
          <w:b/>
          <w:bCs/>
          <w:color w:val="1A2A44"/>
          <w:sz w:val="20"/>
          <w:szCs w:val="20"/>
        </w:rPr>
        <w:t xml:space="preserve">Genuine-User Verification — </w:t>
      </w:r>
      <w:r>
        <w:rPr>
          <w:rFonts w:ascii="Arial" w:cs="Arial" w:eastAsia="Arial" w:hAnsi="Arial"/>
          <w:color w:val="1A2A44"/>
          <w:sz w:val="20"/>
          <w:szCs w:val="20"/>
        </w:rPr>
        <w:t xml:space="preserve">Anti-Fraud Architecture: Multi-layer Sybil resistance using Telegram Premium account age verification and unique active wallet (UAW) scoring to prevent bot farming from diluting rewards for genuine users.</w:t>
      </w:r>
    </w:p>
    <w:p>
      <w:pPr>
        <w:pStyle w:val="ListParagraph"/>
        <w:numPr>
          <w:ilvl w:val="0"/>
          <w:numId w:val="3"/>
        </w:numPr>
        <w:spacing w:before="40" w:after="40"/>
      </w:pPr>
      <w:r>
        <w:rPr>
          <w:rFonts w:ascii="Arial" w:cs="Arial" w:eastAsia="Arial" w:hAnsi="Arial"/>
          <w:b/>
          <w:bCs/>
          <w:color w:val="1A2A44"/>
          <w:sz w:val="20"/>
          <w:szCs w:val="20"/>
        </w:rPr>
        <w:t xml:space="preserve">Sustainable Deflation — </w:t>
      </w:r>
      <w:r>
        <w:rPr>
          <w:rFonts w:ascii="Arial" w:cs="Arial" w:eastAsia="Arial" w:hAnsi="Arial"/>
          <w:color w:val="1A2A44"/>
          <w:sz w:val="20"/>
          <w:szCs w:val="20"/>
        </w:rPr>
        <w:t xml:space="preserve">Multi-Dimensional Token Sinks: A comprehensive in-app economy with quantified burn mechanics, ensuring tokens are permanently consumed at a rate proportional to user activity, creating structural deflation over time.</w:t>
      </w:r>
    </w:p>
    <w:p>
      <w:pPr>
        <w:pStyle w:val="ListParagraph"/>
        <w:numPr>
          <w:ilvl w:val="0"/>
          <w:numId w:val="3"/>
        </w:numPr>
        <w:spacing w:before="40" w:after="40"/>
      </w:pPr>
      <w:r>
        <w:rPr>
          <w:rFonts w:ascii="Arial" w:cs="Arial" w:eastAsia="Arial" w:hAnsi="Arial"/>
          <w:b/>
          <w:bCs/>
          <w:color w:val="1A2A44"/>
          <w:sz w:val="20"/>
          <w:szCs w:val="20"/>
        </w:rPr>
        <w:t xml:space="preserve">Deep Liquidity — </w:t>
      </w:r>
      <w:r>
        <w:rPr>
          <w:rFonts w:ascii="Arial" w:cs="Arial" w:eastAsia="Arial" w:hAnsi="Arial"/>
          <w:color w:val="1A2A44"/>
          <w:sz w:val="20"/>
          <w:szCs w:val="20"/>
        </w:rPr>
        <w:t xml:space="preserve">Institutional Liquidity Strategy: A tiered liquidity deployment plan targeting a minimum initial pool of $50,000 with a 6-month lock and a roadmap toward $500,000+ in total liquidity depth across both STON.fi and DeDust.</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3. Gemifaucet: Product Architecture</w:t>
      </w:r>
    </w:p>
    <w:p>
      <w:pPr>
        <w:spacing w:before="80" w:after="80" w:line="280"/>
        <w:jc w:val="both"/>
      </w:pPr>
      <w:r>
        <w:rPr>
          <w:rFonts w:ascii="Arial" w:cs="Arial" w:eastAsia="Arial" w:hAnsi="Arial"/>
          <w:color w:val="1A2A44"/>
          <w:sz w:val="20"/>
          <w:szCs w:val="20"/>
        </w:rPr>
        <w:t xml:space="preserve">Gemifaucet is a Telegram Mini-App that functions as an integrated earning, spending, and social engagement platform. It is accessible directly within Telegram with zero friction — no separate wallet downloads or browser extensions are required. The application is designed with a 'mobile-first, one-tap' UX philosophy to maximize the onboarding conversion rate among Telegram's non-crypto-native user base.</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3.1  Core Utility Mechanics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4160"/>
        <w:gridCol w:w="1800"/>
      </w:tblGrid>
      <w:tr>
        <w:trPr>
          <w:tblHeader/>
        </w:trPr>
        <w:tc>
          <w:tcPr>
            <w:tcW w:type="dxa" w:w="34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Feature</w:t>
            </w:r>
          </w:p>
        </w:tc>
        <w:tc>
          <w:tcPr>
            <w:tcW w:type="dxa" w:w="416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Description</w:t>
            </w:r>
          </w:p>
        </w:tc>
        <w:tc>
          <w:tcPr>
            <w:tcW w:type="dxa" w:w="18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Token Flow</w:t>
            </w:r>
          </w:p>
        </w:tc>
      </w:tr>
      <w:tr>
        <w:tc>
          <w:tcPr>
            <w:tcW w:type="dxa" w:w="3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Mining Package</w:t>
            </w:r>
          </w:p>
        </w:tc>
        <w:tc>
          <w:tcPr>
            <w:tcW w:type="dxa" w:w="41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Users purchase multi-tier packages to increase the rate of passive GEMI accumulation. Packages are tiered (Bronze, Silver, Gold, Platinum) with increasing ROI and lock periods.</w:t>
            </w:r>
          </w:p>
        </w:tc>
        <w:tc>
          <w:tcPr>
            <w:tcW w:type="dxa" w:w="1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Token Sink (Purchase)</w:t>
            </w:r>
          </w:p>
        </w:tc>
      </w:tr>
      <w:tr>
        <w:tc>
          <w:tcPr>
            <w:tcW w:type="dxa" w:w="3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Mining Booster</w:t>
            </w:r>
          </w:p>
        </w:tc>
        <w:tc>
          <w:tcPr>
            <w:tcW w:type="dxa" w:w="41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A time-limited multiplier applied to active mining sessions. Temporary 2x–10x reward rate increases.</w:t>
            </w:r>
          </w:p>
        </w:tc>
        <w:tc>
          <w:tcPr>
            <w:tcW w:type="dxa" w:w="1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Token Sink (Purchase)</w:t>
            </w:r>
          </w:p>
        </w:tc>
      </w:tr>
      <w:tr>
        <w:tc>
          <w:tcPr>
            <w:tcW w:type="dxa" w:w="3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Mining Energy</w:t>
            </w:r>
          </w:p>
        </w:tc>
        <w:tc>
          <w:tcPr>
            <w:tcW w:type="dxa" w:w="41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Consumable resource enabling extended mining sessions beyond the standard daily cap.</w:t>
            </w:r>
          </w:p>
        </w:tc>
        <w:tc>
          <w:tcPr>
            <w:tcW w:type="dxa" w:w="1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Token Sink (Consumption)</w:t>
            </w:r>
          </w:p>
        </w:tc>
      </w:tr>
      <w:tr>
        <w:tc>
          <w:tcPr>
            <w:tcW w:type="dxa" w:w="3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In-App Shop</w:t>
            </w:r>
          </w:p>
        </w:tc>
        <w:tc>
          <w:tcPr>
            <w:tcW w:type="dxa" w:w="41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A marketplace for premium features, cosmetic upgrades, and exclusive app functionalities.</w:t>
            </w:r>
          </w:p>
        </w:tc>
        <w:tc>
          <w:tcPr>
            <w:tcW w:type="dxa" w:w="1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Token Sink (Burn 25%)</w:t>
            </w:r>
          </w:p>
        </w:tc>
      </w:tr>
      <w:tr>
        <w:tc>
          <w:tcPr>
            <w:tcW w:type="dxa" w:w="3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Autofaucet Booster</w:t>
            </w:r>
          </w:p>
        </w:tc>
        <w:tc>
          <w:tcPr>
            <w:tcW w:type="dxa" w:w="41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Passive accumulation enhancement for verified Premium Telegram accounts only, with daily caps.</w:t>
            </w:r>
          </w:p>
        </w:tc>
        <w:tc>
          <w:tcPr>
            <w:tcW w:type="dxa" w:w="1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Token Sink (Purchase)</w:t>
            </w:r>
          </w:p>
        </w:tc>
      </w:tr>
      <w:tr>
        <w:tc>
          <w:tcPr>
            <w:tcW w:type="dxa" w:w="3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AdsGram Watch-to-Earn</w:t>
            </w:r>
          </w:p>
        </w:tc>
        <w:tc>
          <w:tcPr>
            <w:tcW w:type="dxa" w:w="41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Integration with AdsGram to allow users to watch curated ads and earn GEMI, funded by advertiser revenue — creating a non-inflationary reward stream.</w:t>
            </w:r>
          </w:p>
        </w:tc>
        <w:tc>
          <w:tcPr>
            <w:tcW w:type="dxa" w:w="1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Token Source (External)</w:t>
            </w:r>
          </w:p>
        </w:tc>
      </w:tr>
      <w:tr>
        <w:tc>
          <w:tcPr>
            <w:tcW w:type="dxa" w:w="3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Tasks &amp; Campaigns</w:t>
            </w:r>
          </w:p>
        </w:tc>
        <w:tc>
          <w:tcPr>
            <w:tcW w:type="dxa" w:w="41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Time-limited missions, partner campaigns, and social engagement challenges with GEMI reward pools.</w:t>
            </w:r>
          </w:p>
        </w:tc>
        <w:tc>
          <w:tcPr>
            <w:tcW w:type="dxa" w:w="1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Token Source (Reward Pool)</w:t>
            </w:r>
          </w:p>
        </w:tc>
      </w:tr>
      <w:tr>
        <w:tc>
          <w:tcPr>
            <w:tcW w:type="dxa" w:w="3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Squad Mechanics</w:t>
            </w:r>
          </w:p>
        </w:tc>
        <w:tc>
          <w:tcPr>
            <w:tcW w:type="dxa" w:w="41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Group-based earning where users who form or join squads receive a 5–15% bonus on all earning activities, rewarding community formation.</w:t>
            </w:r>
          </w:p>
        </w:tc>
        <w:tc>
          <w:tcPr>
            <w:tcW w:type="dxa" w:w="1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Reward Multiplier</w:t>
            </w:r>
          </w:p>
        </w:tc>
      </w:tr>
    </w:tbl>
    <w:p>
      <w:pPr>
        <w:spacing w:before="100" w:after="0"/>
      </w:pPr>
      <w:r>
        <w:t xml:space="preserve"/>
      </w:r>
    </w:p>
    <w:p>
      <w:pPr>
        <w:pStyle w:val="Heading2"/>
        <w:spacing w:before="280" w:after="120"/>
      </w:pPr>
      <w:r>
        <w:rPr>
          <w:rFonts w:ascii="Arial" w:cs="Arial" w:eastAsia="Arial" w:hAnsi="Arial"/>
          <w:b/>
          <w:bCs/>
          <w:color w:val="1E3A6E"/>
          <w:sz w:val="26"/>
          <w:szCs w:val="26"/>
        </w:rPr>
        <w:t xml:space="preserve">3.2  Third-Party Developer SDK (Phase 4)</w:t>
      </w:r>
    </w:p>
    <w:p>
      <w:pPr>
        <w:spacing w:before="80" w:after="80" w:line="280"/>
        <w:jc w:val="both"/>
      </w:pPr>
      <w:r>
        <w:rPr>
          <w:rFonts w:ascii="Arial" w:cs="Arial" w:eastAsia="Arial" w:hAnsi="Arial"/>
          <w:color w:val="1A2A44"/>
          <w:sz w:val="20"/>
          <w:szCs w:val="20"/>
        </w:rPr>
        <w:t xml:space="preserve">Beginning in Phase 4, Gemifaucet will release a lightweight SDK allowing third-party Telegram Mini-App developers to integrate GEMI as a reward currency within their own applications. Developers will purchase GEMI from the open market to fund their reward pools, creating an ecosystem-level buy pressure that extends far beyond the Gemifaucet application itself. This positions GEMI as a potential de facto micro-payment standard for the broader Telegram app economy.</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4. Tokenomics: A Mathematically Grounded Economy</w:t>
      </w:r>
    </w:p>
    <w:p>
      <w:pPr>
        <w:spacing w:before="80" w:after="80" w:line="280"/>
        <w:jc w:val="both"/>
      </w:pPr>
      <w:r>
        <w:rPr>
          <w:rFonts w:ascii="Arial" w:cs="Arial" w:eastAsia="Arial" w:hAnsi="Arial"/>
          <w:color w:val="1A2A44"/>
          <w:sz w:val="20"/>
          <w:szCs w:val="20"/>
        </w:rPr>
        <w:t xml:space="preserve">The tokenomic design of GEMI is built on three principles: (1) transparent and verifiable supply management, (2) structurally enforced long-term team alignment, and (3) a healthy ratio of token sinks to token sources that prevents inflationary death spirals.</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4.1  Token Specifications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468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Value</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Token Name</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GEMI</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Token Symbol</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GEMI</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Blockchain</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TON (The Open Network)</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Token Standard</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Jetton 2.0 (Shardchain-Optimized)</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Metadata Standard</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TEP-64 Semi-Chain Layout</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Total Supply</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1,000,000,000 GEMI (Fixed, Non-Inflationary)</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Mint Authority</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Revoked at TGE to ensure no future issuance</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Decimals</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9</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Contract Language</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Tact (audited by CertiK or Hacken prior to TGE)</w:t>
            </w:r>
          </w:p>
        </w:tc>
      </w:tr>
    </w:tbl>
    <w:p>
      <w:pPr>
        <w:spacing w:before="100" w:after="0"/>
      </w:pPr>
      <w:r>
        <w:t xml:space="preserve"/>
      </w:r>
    </w:p>
    <w:p>
      <w:pPr>
        <w:pStyle w:val="Heading2"/>
        <w:spacing w:before="280" w:after="120"/>
      </w:pPr>
      <w:r>
        <w:rPr>
          <w:rFonts w:ascii="Arial" w:cs="Arial" w:eastAsia="Arial" w:hAnsi="Arial"/>
          <w:b/>
          <w:bCs/>
          <w:color w:val="1E3A6E"/>
          <w:sz w:val="26"/>
          <w:szCs w:val="26"/>
        </w:rPr>
        <w:t xml:space="preserve">4.2  Token Allocation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320"/>
        <w:gridCol w:w="2000"/>
        <w:gridCol w:w="2440"/>
        <w:gridCol w:w="1200"/>
      </w:tblGrid>
      <w:tr>
        <w:trPr>
          <w:tblHeader/>
        </w:trPr>
        <w:tc>
          <w:tcPr>
            <w:tcW w:type="dxa" w:w="24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Category</w:t>
            </w:r>
          </w:p>
        </w:tc>
        <w:tc>
          <w:tcPr>
            <w:tcW w:type="dxa" w:w="132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Allocation</w:t>
            </w:r>
          </w:p>
        </w:tc>
        <w:tc>
          <w:tcPr>
            <w:tcW w:type="dxa" w:w="20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Amount (GEMI)</w:t>
            </w:r>
          </w:p>
        </w:tc>
        <w:tc>
          <w:tcPr>
            <w:tcW w:type="dxa" w:w="244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Unlock Schedule</w:t>
            </w:r>
          </w:p>
        </w:tc>
        <w:tc>
          <w:tcPr>
            <w:tcW w:type="dxa" w:w="12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Strategic Purpose</w:t>
            </w:r>
          </w:p>
        </w:tc>
      </w:tr>
      <w:tr>
        <w:tc>
          <w:tcPr>
            <w:tcW w:type="dxa" w:w="2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Mining &amp; Engagement Rewards</w:t>
            </w:r>
          </w:p>
        </w:tc>
        <w:tc>
          <w:tcPr>
            <w:tcW w:type="dxa" w:w="132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35%</w:t>
            </w:r>
          </w:p>
        </w:tc>
        <w:tc>
          <w:tcPr>
            <w:tcW w:type="dxa" w:w="2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350,000,000</w:t>
            </w:r>
          </w:p>
        </w:tc>
        <w:tc>
          <w:tcPr>
            <w:tcW w:type="dxa" w:w="244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Asymptotic emission curve over 36 months</w:t>
            </w:r>
          </w:p>
        </w:tc>
        <w:tc>
          <w:tcPr>
            <w:tcW w:type="dxa" w:w="12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Core user incentive and retention engine</w:t>
            </w:r>
          </w:p>
        </w:tc>
      </w:tr>
      <w:tr>
        <w:tc>
          <w:tcPr>
            <w:tcW w:type="dxa" w:w="2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Liquidity Pool</w:t>
            </w:r>
          </w:p>
        </w:tc>
        <w:tc>
          <w:tcPr>
            <w:tcW w:type="dxa" w:w="132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20%</w:t>
            </w:r>
          </w:p>
        </w:tc>
        <w:tc>
          <w:tcPr>
            <w:tcW w:type="dxa" w:w="20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200,000,000</w:t>
            </w:r>
          </w:p>
        </w:tc>
        <w:tc>
          <w:tcPr>
            <w:tcW w:type="dxa" w:w="244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6-month lock on STON.fi + DeDust at TGE</w:t>
            </w:r>
          </w:p>
        </w:tc>
        <w:tc>
          <w:tcPr>
            <w:tcW w:type="dxa" w:w="12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Price stability and trading depth</w:t>
            </w:r>
          </w:p>
        </w:tc>
      </w:tr>
      <w:tr>
        <w:tc>
          <w:tcPr>
            <w:tcW w:type="dxa" w:w="2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Ecosystem Treasury</w:t>
            </w:r>
          </w:p>
        </w:tc>
        <w:tc>
          <w:tcPr>
            <w:tcW w:type="dxa" w:w="132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15%</w:t>
            </w:r>
          </w:p>
        </w:tc>
        <w:tc>
          <w:tcPr>
            <w:tcW w:type="dxa" w:w="2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150,000,000</w:t>
            </w:r>
          </w:p>
        </w:tc>
        <w:tc>
          <w:tcPr>
            <w:tcW w:type="dxa" w:w="244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12-month cliff, 24-month linear vesting</w:t>
            </w:r>
          </w:p>
        </w:tc>
        <w:tc>
          <w:tcPr>
            <w:tcW w:type="dxa" w:w="12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Partnerships, audits, unforeseen costs</w:t>
            </w:r>
          </w:p>
        </w:tc>
      </w:tr>
      <w:tr>
        <w:tc>
          <w:tcPr>
            <w:tcW w:type="dxa" w:w="2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Community Airdrop</w:t>
            </w:r>
          </w:p>
        </w:tc>
        <w:tc>
          <w:tcPr>
            <w:tcW w:type="dxa" w:w="132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10%</w:t>
            </w:r>
          </w:p>
        </w:tc>
        <w:tc>
          <w:tcPr>
            <w:tcW w:type="dxa" w:w="20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100,000,000</w:t>
            </w:r>
          </w:p>
        </w:tc>
        <w:tc>
          <w:tcPr>
            <w:tcW w:type="dxa" w:w="244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Immediate unlock at TGE</w:t>
            </w:r>
          </w:p>
        </w:tc>
        <w:tc>
          <w:tcPr>
            <w:tcW w:type="dxa" w:w="12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Early adoption bootstrap and viral growth</w:t>
            </w:r>
          </w:p>
        </w:tc>
      </w:tr>
      <w:tr>
        <w:tc>
          <w:tcPr>
            <w:tcW w:type="dxa" w:w="2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Marketing &amp; Viral Growth</w:t>
            </w:r>
          </w:p>
        </w:tc>
        <w:tc>
          <w:tcPr>
            <w:tcW w:type="dxa" w:w="132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10%</w:t>
            </w:r>
          </w:p>
        </w:tc>
        <w:tc>
          <w:tcPr>
            <w:tcW w:type="dxa" w:w="2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100,000,000</w:t>
            </w:r>
          </w:p>
        </w:tc>
        <w:tc>
          <w:tcPr>
            <w:tcW w:type="dxa" w:w="244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Milestone-based release (5% per milestone)</w:t>
            </w:r>
          </w:p>
        </w:tc>
        <w:tc>
          <w:tcPr>
            <w:tcW w:type="dxa" w:w="12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User acquisition and influencer campaigns</w:t>
            </w:r>
          </w:p>
        </w:tc>
      </w:tr>
      <w:tr>
        <w:tc>
          <w:tcPr>
            <w:tcW w:type="dxa" w:w="2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Team &amp; Founders</w:t>
            </w:r>
          </w:p>
        </w:tc>
        <w:tc>
          <w:tcPr>
            <w:tcW w:type="dxa" w:w="132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10%</w:t>
            </w:r>
          </w:p>
        </w:tc>
        <w:tc>
          <w:tcPr>
            <w:tcW w:type="dxa" w:w="20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100,000,000</w:t>
            </w:r>
          </w:p>
        </w:tc>
        <w:tc>
          <w:tcPr>
            <w:tcW w:type="dxa" w:w="244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12-month cliff, 36-month linear vesting</w:t>
            </w:r>
          </w:p>
        </w:tc>
        <w:tc>
          <w:tcPr>
            <w:tcW w:type="dxa" w:w="12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Long-term founder alignment</w:t>
            </w:r>
          </w:p>
        </w:tc>
      </w:tr>
    </w:tbl>
    <w:p>
      <w:pPr>
        <w:spacing w:before="100" w:after="0"/>
      </w:pPr>
      <w:r>
        <w:t xml:space="preserve"/>
      </w:r>
    </w:p>
    <w:p>
      <w:pPr>
        <w:pStyle w:val="Heading2"/>
        <w:spacing w:before="280" w:after="120"/>
      </w:pPr>
      <w:r>
        <w:rPr>
          <w:rFonts w:ascii="Arial" w:cs="Arial" w:eastAsia="Arial" w:hAnsi="Arial"/>
          <w:b/>
          <w:bCs/>
          <w:color w:val="1E3A6E"/>
          <w:sz w:val="26"/>
          <w:szCs w:val="26"/>
        </w:rPr>
        <w:t xml:space="preserve">4.3  Presale &amp; Liquidity Parameters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468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Value</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Presale Target</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$50,000 USD (minimum) — $80,000 USD (target)</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Tokens for Presale</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50,000,000 GEMI (5% of total supply)</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Presale Price</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$0.001 per GEMI</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Presale Hard Cap</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$50,000 USD</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Minimum Liquidity Pool at Listing</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$50,000 USD + corresponding GEMI (approx. 5,000 TON)</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Liquidity Lock Duration</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6 months on-chain via TonRaffles (link published at deployment)</w:t>
            </w:r>
          </w:p>
        </w:tc>
      </w:tr>
      <w:tr>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Post-Lock Strategy</w:t>
            </w:r>
          </w:p>
        </w:tc>
        <w:tc>
          <w:tcPr>
            <w:tcW w:type="dxa" w:w="468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12-month extension vote by DAO governance</w:t>
            </w:r>
          </w:p>
        </w:tc>
      </w:tr>
      <w:tr>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Target DEXs</w:t>
            </w:r>
          </w:p>
        </w:tc>
        <w:tc>
          <w:tcPr>
            <w:tcW w:type="dxa" w:w="468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STON.fi (primary), DeDust (secondary)</w:t>
            </w:r>
          </w:p>
        </w:tc>
      </w:tr>
    </w:tbl>
    <w:p>
      <w:pPr>
        <w:spacing w:before="80" w:after="0"/>
      </w:pPr>
      <w:r>
        <w:t xml:space="preserve"/>
      </w:r>
    </w:p>
    <w:p>
      <w:pPr>
        <w:spacing w:before="80" w:after="80" w:line="280"/>
        <w:jc w:val="both"/>
      </w:pPr>
      <w:r>
        <w:rPr>
          <w:rFonts w:ascii="Arial" w:cs="Arial" w:eastAsia="Arial" w:hAnsi="Arial"/>
          <w:color w:val="1A2A44"/>
          <w:sz w:val="20"/>
          <w:szCs w:val="20"/>
        </w:rPr>
        <w:t xml:space="preserve">The decision to raise the presale target from the initial $20,000 to $50,000 minimum is driven by AMM mathematics. For a 1,000,000,000 token supply project, a pool with only $20,000 in total value results in over 5% slippage for a $1,000 trade. A $50,000 pool reduces this to approximately 1.9%, while a $500,000 pool brings slippage below 0.2% for the same trade — the threshold required for institutional and professional trader participation.</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4.4  Emission Control Model</w:t>
      </w:r>
    </w:p>
    <w:p>
      <w:pPr>
        <w:spacing w:before="80" w:after="80" w:line="280"/>
        <w:jc w:val="both"/>
      </w:pPr>
      <w:r>
        <w:rPr>
          <w:rFonts w:ascii="Arial" w:cs="Arial" w:eastAsia="Arial" w:hAnsi="Arial"/>
          <w:color w:val="1A2A44"/>
          <w:sz w:val="20"/>
          <w:szCs w:val="20"/>
        </w:rPr>
        <w:t xml:space="preserve">To prevent the hyperinflationary death spiral that has plagued earlier faucet-based projects, GEMI's mining reward distribution follows an asymptotic emission curve. Rather than a fixed daily rate, rewards become progressively scarcer as the circulating supply approaches the total emission allocation:</w:t>
      </w:r>
    </w:p>
    <w:p>
      <w:pPr>
        <w:spacing w:before="60" w:after="0"/>
      </w:pPr>
      <w:r>
        <w:t xml:space="preserve"/>
      </w:r>
    </w:p>
    <w:p>
      <w:pPr>
        <w:spacing w:before="80" w:after="80"/>
        <w:jc w:val="center"/>
      </w:pPr>
      <w:r>
        <w:rPr>
          <w:rFonts w:ascii="Arial" w:cs="Arial" w:eastAsia="Arial" w:hAnsi="Arial"/>
          <w:b/>
          <w:bCs/>
          <w:i/>
          <w:iCs/>
          <w:color w:val="1E3A6E"/>
          <w:sz w:val="22"/>
          <w:szCs w:val="22"/>
        </w:rPr>
        <w:t xml:space="preserve">S(t) = 350,000,000 × (1 − e⁻ᵏᵗ)</w:t>
      </w:r>
    </w:p>
    <w:p>
      <w:pPr>
        <w:spacing w:before="0" w:after="80"/>
        <w:jc w:val="center"/>
      </w:pPr>
      <w:r>
        <w:rPr>
          <w:rFonts w:ascii="Arial" w:cs="Arial" w:eastAsia="Arial" w:hAnsi="Arial"/>
          <w:i/>
          <w:iCs/>
          <w:color w:val="4A5568"/>
          <w:sz w:val="18"/>
          <w:szCs w:val="18"/>
        </w:rPr>
        <w:t xml:space="preserve">Where S(t) = circulating supply at time t, and k = reward decay constant (adjusted quarterly by DAO)</w:t>
      </w:r>
    </w:p>
    <w:p>
      <w:pPr>
        <w:spacing w:before="60" w:after="0"/>
      </w:pPr>
      <w:r>
        <w:t xml:space="preserve"/>
      </w:r>
    </w:p>
    <w:p>
      <w:pPr>
        <w:spacing w:before="80" w:after="80" w:line="280"/>
        <w:jc w:val="both"/>
      </w:pPr>
      <w:r>
        <w:rPr>
          <w:rFonts w:ascii="Arial" w:cs="Arial" w:eastAsia="Arial" w:hAnsi="Arial"/>
          <w:color w:val="1A2A44"/>
          <w:sz w:val="20"/>
          <w:szCs w:val="20"/>
        </w:rPr>
        <w:t xml:space="preserve">This model ensures that early users are rewarded with the highest rates while making the reward pool increasingly scarce and valuable over time. The decay constant k will initially be set to target a 36-month full emission schedule and will be adjustable by DAO governance vote within a 20% variance band to allow the community to respond to market conditions.</w:t>
      </w:r>
    </w:p>
    <w:p>
      <w:pPr>
        <w:spacing w:before="60" w:after="0"/>
      </w:pPr>
      <w:r>
        <w:t xml:space="preserve"/>
      </w:r>
    </w:p>
    <w:p>
      <w:pPr>
        <w:spacing w:before="80" w:after="80" w:line="280"/>
        <w:jc w:val="left"/>
      </w:pPr>
      <w:r>
        <w:rPr>
          <w:rFonts w:ascii="Arial" w:cs="Arial" w:eastAsia="Arial" w:hAnsi="Arial"/>
          <w:color w:val="1A2A44"/>
          <w:sz w:val="20"/>
          <w:szCs w:val="20"/>
        </w:rPr>
        <w:t xml:space="preserve">Additional emission controls include:</w:t>
      </w:r>
    </w:p>
    <w:p>
      <w:pPr>
        <w:pStyle w:val="ListParagraph"/>
        <w:numPr>
          <w:ilvl w:val="0"/>
          <w:numId w:val="4"/>
        </w:numPr>
        <w:spacing w:before="40" w:after="40"/>
      </w:pPr>
      <w:r>
        <w:rPr>
          <w:rFonts w:ascii="Arial" w:cs="Arial" w:eastAsia="Arial" w:hAnsi="Arial"/>
          <w:color w:val="1A2A44"/>
          <w:sz w:val="20"/>
          <w:szCs w:val="20"/>
        </w:rPr>
        <w:t xml:space="preserve">Daily withdrawal cooldown: 24 hours minimum between withdrawal events per wallet</w:t>
      </w:r>
    </w:p>
    <w:p>
      <w:pPr>
        <w:pStyle w:val="ListParagraph"/>
        <w:numPr>
          <w:ilvl w:val="0"/>
          <w:numId w:val="4"/>
        </w:numPr>
        <w:spacing w:before="40" w:after="40"/>
      </w:pPr>
      <w:r>
        <w:rPr>
          <w:rFonts w:ascii="Arial" w:cs="Arial" w:eastAsia="Arial" w:hAnsi="Arial"/>
          <w:color w:val="1A2A44"/>
          <w:sz w:val="20"/>
          <w:szCs w:val="20"/>
        </w:rPr>
        <w:t xml:space="preserve">Tiered daily withdrawal caps: Bronze (500 GEMI/day), Silver (2,000/day), Gold (5,000/day), Platinum (12,000/day)</w:t>
      </w:r>
    </w:p>
    <w:p>
      <w:pPr>
        <w:pStyle w:val="ListParagraph"/>
        <w:numPr>
          <w:ilvl w:val="0"/>
          <w:numId w:val="4"/>
        </w:numPr>
        <w:spacing w:before="40" w:after="40"/>
      </w:pPr>
      <w:r>
        <w:rPr>
          <w:rFonts w:ascii="Arial" w:cs="Arial" w:eastAsia="Arial" w:hAnsi="Arial"/>
          <w:color w:val="1A2A44"/>
          <w:sz w:val="20"/>
          <w:szCs w:val="20"/>
        </w:rPr>
        <w:t xml:space="preserve">Autofaucet Booster: available exclusively to verified Telegram Premium accounts with a minimum 6-month account age to counter Sybil attacks</w:t>
      </w:r>
    </w:p>
    <w:p>
      <w:pPr>
        <w:pStyle w:val="ListParagraph"/>
        <w:numPr>
          <w:ilvl w:val="0"/>
          <w:numId w:val="4"/>
        </w:numPr>
        <w:spacing w:before="40" w:after="40"/>
      </w:pPr>
      <w:r>
        <w:rPr>
          <w:rFonts w:ascii="Arial" w:cs="Arial" w:eastAsia="Arial" w:hAnsi="Arial"/>
          <w:color w:val="1A2A44"/>
          <w:sz w:val="20"/>
          <w:szCs w:val="20"/>
        </w:rPr>
        <w:t xml:space="preserve">Squad bonus rewards sourced from the Community Airdrop pool, not from new emission</w:t>
      </w:r>
    </w:p>
    <w:p>
      <w:pPr>
        <w:spacing w:before="100" w:after="0"/>
      </w:pPr>
      <w:r>
        <w:t xml:space="preserve"/>
      </w:r>
    </w:p>
    <w:p>
      <w:pPr>
        <w:pStyle w:val="Heading2"/>
        <w:spacing w:before="280" w:after="120"/>
      </w:pPr>
      <w:r>
        <w:rPr>
          <w:rFonts w:ascii="Arial" w:cs="Arial" w:eastAsia="Arial" w:hAnsi="Arial"/>
          <w:b/>
          <w:bCs/>
          <w:color w:val="1E3A6E"/>
          <w:sz w:val="26"/>
          <w:szCs w:val="26"/>
        </w:rPr>
        <w:t xml:space="preserve">4.5  Deflationary Burn and Redistribution Model</w:t>
      </w:r>
    </w:p>
    <w:p>
      <w:pPr>
        <w:spacing w:before="80" w:after="80" w:line="280"/>
        <w:jc w:val="both"/>
      </w:pPr>
      <w:r>
        <w:rPr>
          <w:rFonts w:ascii="Arial" w:cs="Arial" w:eastAsia="Arial" w:hAnsi="Arial"/>
          <w:color w:val="1A2A44"/>
          <w:sz w:val="20"/>
          <w:szCs w:val="20"/>
        </w:rPr>
        <w:t xml:space="preserve">For every GEMI spent within the Gemifaucet In-App Shop (upgrades, premium features, cosmetic items), the following burn and redistribution model is applied:</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3160"/>
        <w:gridCol w:w="2600"/>
      </w:tblGrid>
      <w:tr>
        <w:trPr>
          <w:tblHeader/>
        </w:trPr>
        <w:tc>
          <w:tcPr>
            <w:tcW w:type="dxa" w:w="22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Disposition</w:t>
            </w:r>
          </w:p>
        </w:tc>
        <w:tc>
          <w:tcPr>
            <w:tcW w:type="dxa" w:w="14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Percentage</w:t>
            </w:r>
          </w:p>
        </w:tc>
        <w:tc>
          <w:tcPr>
            <w:tcW w:type="dxa" w:w="316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Mechanism</w:t>
            </w:r>
          </w:p>
        </w:tc>
        <w:tc>
          <w:tcPr>
            <w:tcW w:type="dxa" w:w="26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Rationale</w:t>
            </w:r>
          </w:p>
        </w:tc>
      </w:tr>
      <w:tr>
        <w:tc>
          <w:tcPr>
            <w:tcW w:type="dxa" w:w="22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Permanent Burn</w:t>
            </w:r>
          </w:p>
        </w:tc>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25%</w:t>
            </w:r>
          </w:p>
        </w:tc>
        <w:tc>
          <w:tcPr>
            <w:tcW w:type="dxa" w:w="31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Sent to null address (0x000...dead), verifiable on-chain</w:t>
            </w:r>
          </w:p>
        </w:tc>
        <w:tc>
          <w:tcPr>
            <w:tcW w:type="dxa" w:w="26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Permanent supply reduction, deflationary pressure</w:t>
            </w:r>
          </w:p>
        </w:tc>
      </w:tr>
      <w:tr>
        <w:tc>
          <w:tcPr>
            <w:tcW w:type="dxa" w:w="22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Mining Pool Re-injection</w:t>
            </w:r>
          </w:p>
        </w:tc>
        <w:tc>
          <w:tcPr>
            <w:tcW w:type="dxa" w:w="1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25%</w:t>
            </w:r>
          </w:p>
        </w:tc>
        <w:tc>
          <w:tcPr>
            <w:tcW w:type="dxa" w:w="31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Returned to emission pool, extending game lifespan</w:t>
            </w:r>
          </w:p>
        </w:tc>
        <w:tc>
          <w:tcPr>
            <w:tcW w:type="dxa" w:w="26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Sustainable reward longevity without new issuance</w:t>
            </w:r>
          </w:p>
        </w:tc>
      </w:tr>
      <w:tr>
        <w:tc>
          <w:tcPr>
            <w:tcW w:type="dxa" w:w="22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Treasury Support</w:t>
            </w:r>
          </w:p>
        </w:tc>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50%</w:t>
            </w:r>
          </w:p>
        </w:tc>
        <w:tc>
          <w:tcPr>
            <w:tcW w:type="dxa" w:w="31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Moved to multi-sig Ecosystem Treasury wallet</w:t>
            </w:r>
          </w:p>
        </w:tc>
        <w:tc>
          <w:tcPr>
            <w:tcW w:type="dxa" w:w="26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Reduces team pressure to sell founder allocation</w:t>
            </w:r>
          </w:p>
        </w:tc>
      </w:tr>
    </w:tbl>
    <w:p>
      <w:pPr>
        <w:spacing w:before="80" w:after="0"/>
      </w:pPr>
      <w:r>
        <w:t xml:space="preserve"/>
      </w:r>
    </w:p>
    <w:p>
      <w:pPr>
        <w:spacing w:before="80" w:after="80" w:line="280"/>
        <w:jc w:val="both"/>
      </w:pPr>
      <w:r>
        <w:rPr>
          <w:rFonts w:ascii="Arial" w:cs="Arial" w:eastAsia="Arial" w:hAnsi="Arial"/>
          <w:color w:val="1A2A44"/>
          <w:sz w:val="20"/>
          <w:szCs w:val="20"/>
        </w:rPr>
        <w:t xml:space="preserve">This model mirrors the deflationary mechanics of TON itself, which destroys 50% of all transaction fees. By applying a similar logic at the application layer, GEMI creates a structural incentive for in-app spending that benefits all token holders through progressive supply reduction.</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5. Technical Architecture</w:t>
      </w:r>
    </w:p>
    <w:p>
      <w:pPr>
        <w:pStyle w:val="Heading2"/>
        <w:spacing w:before="280" w:after="120"/>
      </w:pPr>
      <w:r>
        <w:rPr>
          <w:rFonts w:ascii="Arial" w:cs="Arial" w:eastAsia="Arial" w:hAnsi="Arial"/>
          <w:b/>
          <w:bCs/>
          <w:color w:val="1E3A6E"/>
          <w:sz w:val="26"/>
          <w:szCs w:val="26"/>
        </w:rPr>
        <w:t xml:space="preserve">5.1  Jetton 2.0 Standard</w:t>
      </w:r>
    </w:p>
    <w:p>
      <w:pPr>
        <w:spacing w:before="80" w:after="80" w:line="280"/>
        <w:jc w:val="both"/>
      </w:pPr>
      <w:r>
        <w:rPr>
          <w:rFonts w:ascii="Arial" w:cs="Arial" w:eastAsia="Arial" w:hAnsi="Arial"/>
          <w:color w:val="1A2A44"/>
          <w:sz w:val="20"/>
          <w:szCs w:val="20"/>
        </w:rPr>
        <w:t xml:space="preserve">GEMI will be deployed as a Jetton 2.0 token, the updated standard released in August 2025 and now the production standard for all new TON Jetton deployments. in Jetton 2.0 is shardchain co-location: each user's Jetton wallet contract is deployed on the same shardchain as their TON wallet address. This eliminates cross-shard message routing overhead and delivers transaction finality up to three times faster under peak network load — a critical performance requirement for a high-frequency application like Gemifaucet.</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5.2  Metadata Architecture (TEP-64 Semi-Chain)</w:t>
      </w:r>
    </w:p>
    <w:p>
      <w:pPr>
        <w:spacing w:before="80" w:after="80" w:line="280"/>
        <w:jc w:val="both"/>
      </w:pPr>
      <w:r>
        <w:rPr>
          <w:rFonts w:ascii="Arial" w:cs="Arial" w:eastAsia="Arial" w:hAnsi="Arial"/>
          <w:color w:val="1A2A44"/>
          <w:sz w:val="20"/>
          <w:szCs w:val="20"/>
        </w:rPr>
        <w:t xml:space="preserve">GEMI metadata will implement a TEP-64 Semi-Chain layout — the recommended hybrid approach for production-grade Jettons on TON. Critical identity data (token name, symbol, decimal precision) will be stored immutably on-chain as binary data within the master contract, guaranteeing it appears correctly in Telegram Wallet, Tonkeeper, and all TON-native applications. High-resolution branding assets, extended descriptions, and off-chain metadata will be stored via TON Storage (decentralized hosting) to minimize on-chain storage costs while maintaining integrity.</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5.3  Smart Contract Security</w:t>
      </w:r>
    </w:p>
    <w:p>
      <w:pPr>
        <w:spacing w:before="80" w:after="80" w:line="280"/>
        <w:jc w:val="both"/>
      </w:pPr>
      <w:r>
        <w:rPr>
          <w:rFonts w:ascii="Arial" w:cs="Arial" w:eastAsia="Arial" w:hAnsi="Arial"/>
          <w:color w:val="1A2A44"/>
          <w:sz w:val="20"/>
          <w:szCs w:val="20"/>
        </w:rPr>
        <w:t xml:space="preserve">All GEMI contracts — the Jetton master, individual user wallet contracts, vesting contracts, and the presale contract — will be written in Tact, the modern high-level language for TON contract development designed to minimize common FunC vulnerabilities. Prior to TGE, all contracts will undergo a mandatory third-party security audit by CertiK or Hacken, with the full audit report published publicly.</w:t>
      </w:r>
    </w:p>
    <w:p>
      <w:pPr>
        <w:spacing w:before="60" w:after="0"/>
      </w:pPr>
      <w:r>
        <w:t xml:space="preserve"/>
      </w:r>
    </w:p>
    <w:p>
      <w:pPr>
        <w:spacing w:before="80" w:after="80" w:line="280"/>
        <w:jc w:val="left"/>
      </w:pPr>
      <w:r>
        <w:rPr>
          <w:rFonts w:ascii="Arial" w:cs="Arial" w:eastAsia="Arial" w:hAnsi="Arial"/>
          <w:color w:val="1A2A44"/>
          <w:sz w:val="20"/>
          <w:szCs w:val="20"/>
        </w:rPr>
        <w:t xml:space="preserve">Key security considerations addressed in the contract architecture:</w:t>
      </w:r>
    </w:p>
    <w:p>
      <w:pPr>
        <w:pStyle w:val="ListParagraph"/>
        <w:numPr>
          <w:ilvl w:val="0"/>
          <w:numId w:val="4"/>
        </w:numPr>
        <w:spacing w:before="40" w:after="40"/>
      </w:pPr>
      <w:r>
        <w:rPr>
          <w:rFonts w:ascii="Arial" w:cs="Arial" w:eastAsia="Arial" w:hAnsi="Arial"/>
          <w:color w:val="1A2A44"/>
          <w:sz w:val="20"/>
          <w:szCs w:val="20"/>
        </w:rPr>
        <w:t xml:space="preserve">Bounce handling: All outbound messages include explicit bounce handlers to prevent token loss from failed recipient wallet deployments</w:t>
      </w:r>
    </w:p>
    <w:p>
      <w:pPr>
        <w:pStyle w:val="ListParagraph"/>
        <w:numPr>
          <w:ilvl w:val="0"/>
          <w:numId w:val="4"/>
        </w:numPr>
        <w:spacing w:before="40" w:after="40"/>
      </w:pPr>
      <w:r>
        <w:rPr>
          <w:rFonts w:ascii="Arial" w:cs="Arial" w:eastAsia="Arial" w:hAnsi="Arial"/>
          <w:color w:val="1A2A44"/>
          <w:sz w:val="20"/>
          <w:szCs w:val="20"/>
        </w:rPr>
        <w:t xml:space="preserve">Re-entrancy protection: State changes are committed before external message sends in all contract functions</w:t>
      </w:r>
    </w:p>
    <w:p>
      <w:pPr>
        <w:pStyle w:val="ListParagraph"/>
        <w:numPr>
          <w:ilvl w:val="0"/>
          <w:numId w:val="4"/>
        </w:numPr>
        <w:spacing w:before="40" w:after="40"/>
      </w:pPr>
      <w:r>
        <w:rPr>
          <w:rFonts w:ascii="Arial" w:cs="Arial" w:eastAsia="Arial" w:hAnsi="Arial"/>
          <w:color w:val="1A2A44"/>
          <w:sz w:val="20"/>
          <w:szCs w:val="20"/>
        </w:rPr>
        <w:t xml:space="preserve">Gas reserve management: Contracts maintain mandatory minimum TON reserves to prevent accidental self-destruction from gas exhaustion</w:t>
      </w:r>
    </w:p>
    <w:p>
      <w:pPr>
        <w:pStyle w:val="ListParagraph"/>
        <w:numPr>
          <w:ilvl w:val="0"/>
          <w:numId w:val="4"/>
        </w:numPr>
        <w:spacing w:before="40" w:after="40"/>
      </w:pPr>
      <w:r>
        <w:rPr>
          <w:rFonts w:ascii="Arial" w:cs="Arial" w:eastAsia="Arial" w:hAnsi="Arial"/>
          <w:color w:val="1A2A44"/>
          <w:sz w:val="20"/>
          <w:szCs w:val="20"/>
        </w:rPr>
        <w:t xml:space="preserve">Unbounded data structure prevention: All iterative operations have explicit gas budgets and limits</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5.4  Vesting Smart Contracts (TEP-74)</w:t>
      </w:r>
    </w:p>
    <w:p>
      <w:pPr>
        <w:spacing w:before="80" w:after="80" w:line="280"/>
        <w:jc w:val="both"/>
      </w:pPr>
      <w:r>
        <w:rPr>
          <w:rFonts w:ascii="Arial" w:cs="Arial" w:eastAsia="Arial" w:hAnsi="Arial"/>
          <w:color w:val="1A2A44"/>
          <w:sz w:val="20"/>
          <w:szCs w:val="20"/>
        </w:rPr>
        <w:t xml:space="preserve">Team, Founder, and Treasury token allocations will be locked into audited, on-chain TEP-74 compliant vesting contracts at the moment of TGE. These contracts enforce release schedules programmatically — there is no administrative override or 'emergency unlock' function. The contract addresses will be published in the official Telegram channel and on the project website immediately upon deployment, providing full verifiability.</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2360"/>
        <w:gridCol w:w="2800"/>
      </w:tblGrid>
      <w:tr>
        <w:trPr>
          <w:tblHeader/>
        </w:trPr>
        <w:tc>
          <w:tcPr>
            <w:tcW w:type="dxa" w:w="28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Allocation</w:t>
            </w:r>
          </w:p>
        </w:tc>
        <w:tc>
          <w:tcPr>
            <w:tcW w:type="dxa" w:w="14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Cliff</w:t>
            </w:r>
          </w:p>
        </w:tc>
        <w:tc>
          <w:tcPr>
            <w:tcW w:type="dxa" w:w="236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Vesting Duration</w:t>
            </w:r>
          </w:p>
        </w:tc>
        <w:tc>
          <w:tcPr>
            <w:tcW w:type="dxa" w:w="28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Release Type</w:t>
            </w:r>
          </w:p>
        </w:tc>
      </w:tr>
      <w:tr>
        <w:tc>
          <w:tcPr>
            <w:tcW w:type="dxa" w:w="2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Team &amp; Founders (10%)</w:t>
            </w:r>
          </w:p>
        </w:tc>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12 months</w:t>
            </w:r>
          </w:p>
        </w:tc>
        <w:tc>
          <w:tcPr>
            <w:tcW w:type="dxa" w:w="23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36 months</w:t>
            </w:r>
          </w:p>
        </w:tc>
        <w:tc>
          <w:tcPr>
            <w:tcW w:type="dxa" w:w="2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Linear (monthly unlock)</w:t>
            </w:r>
          </w:p>
        </w:tc>
      </w:tr>
      <w:tr>
        <w:tc>
          <w:tcPr>
            <w:tcW w:type="dxa" w:w="2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Ecosystem Treasury (15%)</w:t>
            </w:r>
          </w:p>
        </w:tc>
        <w:tc>
          <w:tcPr>
            <w:tcW w:type="dxa" w:w="1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12 months</w:t>
            </w:r>
          </w:p>
        </w:tc>
        <w:tc>
          <w:tcPr>
            <w:tcW w:type="dxa" w:w="23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24 months</w:t>
            </w:r>
          </w:p>
        </w:tc>
        <w:tc>
          <w:tcPr>
            <w:tcW w:type="dxa" w:w="2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Linear (monthly unlock)</w:t>
            </w:r>
          </w:p>
        </w:tc>
      </w:tr>
      <w:tr>
        <w:tc>
          <w:tcPr>
            <w:tcW w:type="dxa" w:w="2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Marketing &amp; Growth (10%)</w:t>
            </w:r>
          </w:p>
        </w:tc>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None</w:t>
            </w:r>
          </w:p>
        </w:tc>
        <w:tc>
          <w:tcPr>
            <w:tcW w:type="dxa" w:w="23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Per-milestone</w:t>
            </w:r>
          </w:p>
        </w:tc>
        <w:tc>
          <w:tcPr>
            <w:tcW w:type="dxa" w:w="28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Milestone-triggered release</w:t>
            </w:r>
          </w:p>
        </w:tc>
      </w:tr>
      <w:tr>
        <w:tc>
          <w:tcPr>
            <w:tcW w:type="dxa" w:w="2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Liquidity Pool (20%)</w:t>
            </w:r>
          </w:p>
        </w:tc>
        <w:tc>
          <w:tcPr>
            <w:tcW w:type="dxa" w:w="1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None</w:t>
            </w:r>
          </w:p>
        </w:tc>
        <w:tc>
          <w:tcPr>
            <w:tcW w:type="dxa" w:w="23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6-month lock</w:t>
            </w:r>
          </w:p>
        </w:tc>
        <w:tc>
          <w:tcPr>
            <w:tcW w:type="dxa" w:w="28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Full lock (no release until Month 6)</w:t>
            </w:r>
          </w:p>
        </w:tc>
      </w:tr>
    </w:tbl>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6. Anti-Fraud Architecture</w:t>
      </w:r>
    </w:p>
    <w:p>
      <w:pPr>
        <w:spacing w:before="80" w:after="80" w:line="280"/>
        <w:jc w:val="both"/>
      </w:pPr>
      <w:r>
        <w:rPr>
          <w:rFonts w:ascii="Arial" w:cs="Arial" w:eastAsia="Arial" w:hAnsi="Arial"/>
          <w:color w:val="1A2A44"/>
          <w:sz w:val="20"/>
          <w:szCs w:val="20"/>
        </w:rPr>
        <w:t xml:space="preserve">Bot farming and Sybil attacks represent the single greatest threat to the long-term viability of any faucet-based economy. A single coordinated bot operation running thousands of virtual Telegram accounts can drain a reward pool intended for tens of thousands of genuine users, creating the 'dust allocation' problem that destroyed community trust in several major 2024 TMA launches.</w:t>
      </w:r>
    </w:p>
    <w:p>
      <w:pPr>
        <w:spacing w:before="80" w:after="0"/>
      </w:pPr>
      <w:r>
        <w:t xml:space="preserve"/>
      </w:r>
    </w:p>
    <w:p>
      <w:pPr>
        <w:spacing w:before="80" w:after="80" w:line="280"/>
        <w:jc w:val="both"/>
      </w:pPr>
      <w:r>
        <w:rPr>
          <w:rFonts w:ascii="Arial" w:cs="Arial" w:eastAsia="Arial" w:hAnsi="Arial"/>
          <w:color w:val="1A2A44"/>
          <w:sz w:val="20"/>
          <w:szCs w:val="20"/>
        </w:rPr>
        <w:t xml:space="preserve">GEMI deploys a layered anti-fraud system incorporating the following mechanisms: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560"/>
        <w:gridCol w:w="4400"/>
      </w:tblGrid>
      <w:tr>
        <w:trPr>
          <w:tblHeader/>
        </w:trPr>
        <w:tc>
          <w:tcPr>
            <w:tcW w:type="dxa" w:w="14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Layer</w:t>
            </w:r>
          </w:p>
        </w:tc>
        <w:tc>
          <w:tcPr>
            <w:tcW w:type="dxa" w:w="356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Mechanism</w:t>
            </w:r>
          </w:p>
        </w:tc>
        <w:tc>
          <w:tcPr>
            <w:tcW w:type="dxa" w:w="44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Implementation</w:t>
            </w:r>
          </w:p>
        </w:tc>
      </w:tr>
      <w:tr>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L1: Account Verification</w:t>
            </w:r>
          </w:p>
        </w:tc>
        <w:tc>
          <w:tcPr>
            <w:tcW w:type="dxa" w:w="35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Telegram Premium account age requirement (minimum 180 days) for Autofaucet access</w:t>
            </w:r>
          </w:p>
        </w:tc>
        <w:tc>
          <w:tcPr>
            <w:tcW w:type="dxa" w:w="4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API-level Telegram authentication check</w:t>
            </w:r>
          </w:p>
        </w:tc>
      </w:tr>
      <w:tr>
        <w:tc>
          <w:tcPr>
            <w:tcW w:type="dxa" w:w="1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L2: Wallet Uniqueness</w:t>
            </w:r>
          </w:p>
        </w:tc>
        <w:tc>
          <w:tcPr>
            <w:tcW w:type="dxa" w:w="35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One registered Telegram User ID per TON wallet address — enforced at contract level</w:t>
            </w:r>
          </w:p>
        </w:tc>
        <w:tc>
          <w:tcPr>
            <w:tcW w:type="dxa" w:w="4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On-chain mapping in master contract</w:t>
            </w:r>
          </w:p>
        </w:tc>
      </w:tr>
      <w:tr>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L3: UAW Scoring</w:t>
            </w:r>
          </w:p>
        </w:tc>
        <w:tc>
          <w:tcPr>
            <w:tcW w:type="dxa" w:w="35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Unique Active Wallet scoring based on behavioral patterns (transaction frequency, timing, interaction diversity)</w:t>
            </w:r>
          </w:p>
        </w:tc>
        <w:tc>
          <w:tcPr>
            <w:tcW w:type="dxa" w:w="4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Off-chain scoring engine, on-chain enforcement</w:t>
            </w:r>
          </w:p>
        </w:tc>
      </w:tr>
      <w:tr>
        <w:tc>
          <w:tcPr>
            <w:tcW w:type="dxa" w:w="1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L4: Withdrawal Gating</w:t>
            </w:r>
          </w:p>
        </w:tc>
        <w:tc>
          <w:tcPr>
            <w:tcW w:type="dxa" w:w="35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24-hour cooldown + tiered daily caps limit economic value per account regardless of activity level</w:t>
            </w:r>
          </w:p>
        </w:tc>
        <w:tc>
          <w:tcPr>
            <w:tcW w:type="dxa" w:w="4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Smart contract enforcement</w:t>
            </w:r>
          </w:p>
        </w:tc>
      </w:tr>
      <w:tr>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L5: Squad Validation</w:t>
            </w:r>
          </w:p>
        </w:tc>
        <w:tc>
          <w:tcPr>
            <w:tcW w:type="dxa" w:w="35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Squad bonus eligibility requires all squad members to pass UAW scoring thresholds</w:t>
            </w:r>
          </w:p>
        </w:tc>
        <w:tc>
          <w:tcPr>
            <w:tcW w:type="dxa" w:w="4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Prevents bot-squad collusion</w:t>
            </w:r>
          </w:p>
        </w:tc>
      </w:tr>
    </w:tbl>
    <w:p>
      <w:pPr>
        <w:spacing w:before="80" w:after="0"/>
      </w:pPr>
      <w:r>
        <w:t xml:space="preserve"/>
      </w:r>
    </w:p>
    <w:p>
      <w:pPr>
        <w:spacing w:before="80" w:after="80" w:line="280"/>
        <w:jc w:val="both"/>
      </w:pPr>
      <w:r>
        <w:rPr>
          <w:rFonts w:ascii="Arial" w:cs="Arial" w:eastAsia="Arial" w:hAnsi="Arial"/>
          <w:color w:val="1A2A44"/>
          <w:sz w:val="20"/>
          <w:szCs w:val="20"/>
        </w:rPr>
        <w:t xml:space="preserve">The Autofaucet Booster feature — a high-risk element in any faucet design — is gated exclusively behind Telegram Premium account verification with a minimum 6-month account age requirement (consistent with the approach pioneered by the DOGS project for its airdrop eligibility). This single requirement effectively eliminates the economic incentive to create large-scale bot farms, as acquiring hundreds of aged Premium Telegram accounts represents a prohibitive upfront cost.</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7. Strategic Roadmap</w:t>
      </w:r>
    </w:p>
    <w:p>
      <w:pPr>
        <w:spacing w:before="80" w:after="80" w:line="280"/>
        <w:jc w:val="both"/>
      </w:pPr>
      <w:r>
        <w:rPr>
          <w:rFonts w:ascii="Arial" w:cs="Arial" w:eastAsia="Arial" w:hAnsi="Arial"/>
          <w:color w:val="1A2A44"/>
          <w:sz w:val="20"/>
          <w:szCs w:val="20"/>
        </w:rPr>
        <w:t xml:space="preserve">The GEMI roadmap is structured across five phases spanning 18 months, prioritizing security and technical foundation before aggressive user acquisition. This mirrors the sequencing of top-performing TON projects which established credibility before scaling.</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1000"/>
        <w:gridCol w:w="1400"/>
        <w:gridCol w:w="3600"/>
        <w:gridCol w:w="2360"/>
      </w:tblGrid>
      <w:tr>
        <w:trPr>
          <w:tblHeader/>
        </w:trPr>
        <w:tc>
          <w:tcPr>
            <w:tcW w:type="dxa" w:w="10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Phase</w:t>
            </w:r>
          </w:p>
        </w:tc>
        <w:tc>
          <w:tcPr>
            <w:tcW w:type="dxa" w:w="10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Timeline</w:t>
            </w:r>
          </w:p>
        </w:tc>
        <w:tc>
          <w:tcPr>
            <w:tcW w:type="dxa" w:w="14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Focus</w:t>
            </w:r>
          </w:p>
        </w:tc>
        <w:tc>
          <w:tcPr>
            <w:tcW w:type="dxa" w:w="360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Key Milestones</w:t>
            </w:r>
          </w:p>
        </w:tc>
        <w:tc>
          <w:tcPr>
            <w:tcW w:type="dxa" w:w="2360"/>
            <w:tcBorders>
              <w:top w:val="single" w:color="C5CFE8" w:sz="1"/>
              <w:left w:val="single" w:color="C5CFE8" w:sz="1"/>
              <w:bottom w:val="single" w:color="C5CFE8" w:sz="1"/>
              <w:right w:val="single" w:color="C5CFE8" w:sz="1"/>
            </w:tcBorders>
            <w:shd w:fill="1E3A6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Success Metric</w:t>
            </w:r>
          </w:p>
        </w:tc>
      </w:tr>
      <w:tr>
        <w:tc>
          <w:tcPr>
            <w:tcW w:type="dxa" w:w="1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Phase 1</w:t>
            </w:r>
          </w:p>
        </w:tc>
        <w:tc>
          <w:tcPr>
            <w:tcW w:type="dxa" w:w="1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Months 1–2</w:t>
            </w:r>
          </w:p>
        </w:tc>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Foundation &amp; Security</w:t>
            </w:r>
          </w:p>
        </w:tc>
        <w:tc>
          <w:tcPr>
            <w:tcW w:type="dxa" w:w="36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Smart contract development + third-party audit (CertiK/Hacken); Jetton 2.0 deployment; MiCA entity registration; TEP-74 vesting contract deployment; security audit report published publicly</w:t>
            </w:r>
          </w:p>
        </w:tc>
        <w:tc>
          <w:tcPr>
            <w:tcW w:type="dxa" w:w="23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Audit completed, 0 critical vulnerabilities</w:t>
            </w:r>
          </w:p>
        </w:tc>
      </w:tr>
      <w:tr>
        <w:tc>
          <w:tcPr>
            <w:tcW w:type="dxa" w:w="10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Phase 2</w:t>
            </w:r>
          </w:p>
        </w:tc>
        <w:tc>
          <w:tcPr>
            <w:tcW w:type="dxa" w:w="10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Months 3–4</w:t>
            </w:r>
          </w:p>
        </w:tc>
        <w:tc>
          <w:tcPr>
            <w:tcW w:type="dxa" w:w="1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Community &amp; Pre-Launch</w:t>
            </w:r>
          </w:p>
        </w:tc>
        <w:tc>
          <w:tcPr>
            <w:tcW w:type="dxa" w:w="36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Alpha testing with 28,000 existing Telegram community; referral campaign activation; viral leaderboard events; whitelist campaign; early community airdrop (from 10% allocation)</w:t>
            </w:r>
          </w:p>
        </w:tc>
        <w:tc>
          <w:tcPr>
            <w:tcW w:type="dxa" w:w="23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28,000 wallets registered, 5,000 whitelist signups</w:t>
            </w:r>
          </w:p>
        </w:tc>
      </w:tr>
      <w:tr>
        <w:tc>
          <w:tcPr>
            <w:tcW w:type="dxa" w:w="1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Phase 3</w:t>
            </w:r>
          </w:p>
        </w:tc>
        <w:tc>
          <w:tcPr>
            <w:tcW w:type="dxa" w:w="1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Months 5–6</w:t>
            </w:r>
          </w:p>
        </w:tc>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TGE &amp; DEX Listing</w:t>
            </w:r>
          </w:p>
        </w:tc>
        <w:tc>
          <w:tcPr>
            <w:tcW w:type="dxa" w:w="36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Presale conducted in Gemifaucet TMA; $50,000+ raised; 6-month liquidity lock on STON.fi; DeDust secondary listing; TGE event with community celebration</w:t>
            </w:r>
          </w:p>
        </w:tc>
        <w:tc>
          <w:tcPr>
            <w:tcW w:type="dxa" w:w="23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STON.fi listed, 6-month lock verified on-chain</w:t>
            </w:r>
          </w:p>
        </w:tc>
      </w:tr>
      <w:tr>
        <w:tc>
          <w:tcPr>
            <w:tcW w:type="dxa" w:w="10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Phase 4</w:t>
            </w:r>
          </w:p>
        </w:tc>
        <w:tc>
          <w:tcPr>
            <w:tcW w:type="dxa" w:w="10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Months 7–12</w:t>
            </w:r>
          </w:p>
        </w:tc>
        <w:tc>
          <w:tcPr>
            <w:tcW w:type="dxa" w:w="14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Utility Expansion</w:t>
            </w:r>
          </w:p>
        </w:tc>
        <w:tc>
          <w:tcPr>
            <w:tcW w:type="dxa" w:w="360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Full Gemifaucet feature suite launch; AdsGram integration for Watch-to-Earn; Squad mechanics activation; Third-party Developer SDK beta release; NFT cosmetic integration</w:t>
            </w:r>
          </w:p>
        </w:tc>
        <w:tc>
          <w:tcPr>
            <w:tcW w:type="dxa" w:w="2360"/>
            <w:tcBorders>
              <w:top w:val="single" w:color="C5CFE8" w:sz="1"/>
              <w:left w:val="single" w:color="C5CFE8" w:sz="1"/>
              <w:bottom w:val="single" w:color="C5CFE8" w:sz="1"/>
              <w:right w:val="single" w:color="C5CFE8" w:sz="1"/>
            </w:tcBorders>
            <w:shd w:fill="F4F6FB" w:val="clear"/>
            <w:tcMar>
              <w:top w:type="dxa" w:w="80"/>
              <w:left w:type="dxa" w:w="120"/>
              <w:bottom w:type="dxa" w:w="80"/>
              <w:right w:type="dxa" w:w="120"/>
            </w:tcMar>
          </w:tcPr>
          <w:p>
            <w:r>
              <w:rPr>
                <w:rFonts w:ascii="Arial" w:cs="Arial" w:eastAsia="Arial" w:hAnsi="Arial"/>
                <w:color w:val="1A2A44"/>
                <w:sz w:val="18"/>
                <w:szCs w:val="18"/>
              </w:rPr>
              <w:t xml:space="preserve">50,000+ active wallets, $500k+ liquidity depth</w:t>
            </w:r>
          </w:p>
        </w:tc>
      </w:tr>
      <w:tr>
        <w:tc>
          <w:tcPr>
            <w:tcW w:type="dxa" w:w="1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Phase 5</w:t>
            </w:r>
          </w:p>
        </w:tc>
        <w:tc>
          <w:tcPr>
            <w:tcW w:type="dxa" w:w="10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Months 13–18</w:t>
            </w:r>
          </w:p>
        </w:tc>
        <w:tc>
          <w:tcPr>
            <w:tcW w:type="dxa" w:w="14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Decentralization</w:t>
            </w:r>
          </w:p>
        </w:tc>
        <w:tc>
          <w:tcPr>
            <w:tcW w:type="dxa" w:w="360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DAO governance launch via GEMI token voting; fee-burning mechanism live (25% of shop spend); community-voted k-constant adjustment; cross-app SDK open to public developers</w:t>
            </w:r>
          </w:p>
        </w:tc>
        <w:tc>
          <w:tcPr>
            <w:tcW w:type="dxa" w:w="2360"/>
            <w:tcBorders>
              <w:top w:val="single" w:color="C5CFE8" w:sz="1"/>
              <w:left w:val="single" w:color="C5CFE8" w:sz="1"/>
              <w:bottom w:val="single" w:color="C5CFE8" w:sz="1"/>
              <w:right w:val="single" w:color="C5CFE8" w:sz="1"/>
            </w:tcBorders>
            <w:shd w:fill="FFFFFF" w:val="clear"/>
            <w:tcMar>
              <w:top w:type="dxa" w:w="80"/>
              <w:left w:type="dxa" w:w="120"/>
              <w:bottom w:type="dxa" w:w="80"/>
              <w:right w:type="dxa" w:w="120"/>
            </w:tcMar>
          </w:tcPr>
          <w:p>
            <w:r>
              <w:rPr>
                <w:rFonts w:ascii="Arial" w:cs="Arial" w:eastAsia="Arial" w:hAnsi="Arial"/>
                <w:color w:val="1A2A44"/>
                <w:sz w:val="18"/>
                <w:szCs w:val="18"/>
              </w:rPr>
              <w:t xml:space="preserve">DAO governance active, burn verifiable on-chain</w:t>
            </w:r>
          </w:p>
        </w:tc>
      </w:tr>
    </w:tbl>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8. Marketing Strategy</w:t>
      </w:r>
    </w:p>
    <w:p>
      <w:pPr>
        <w:pStyle w:val="Heading2"/>
        <w:spacing w:before="280" w:after="120"/>
      </w:pPr>
      <w:r>
        <w:rPr>
          <w:rFonts w:ascii="Arial" w:cs="Arial" w:eastAsia="Arial" w:hAnsi="Arial"/>
          <w:b/>
          <w:bCs/>
          <w:color w:val="1E3A6E"/>
          <w:sz w:val="26"/>
          <w:szCs w:val="26"/>
        </w:rPr>
        <w:t xml:space="preserve">8.1  Community-First Launch Model</w:t>
      </w:r>
    </w:p>
    <w:p>
      <w:pPr>
        <w:spacing w:before="80" w:after="80" w:line="280"/>
        <w:jc w:val="both"/>
      </w:pPr>
      <w:r>
        <w:rPr>
          <w:rFonts w:ascii="Arial" w:cs="Arial" w:eastAsia="Arial" w:hAnsi="Arial"/>
          <w:color w:val="1A2A44"/>
          <w:sz w:val="20"/>
          <w:szCs w:val="20"/>
        </w:rPr>
        <w:t xml:space="preserve">GEMI enters the market with a meaningful head start: an existing community of 28,000 active Telegram users who are already familiar with the Gemifaucet application. This organic base — representing verified, engaged individuals rather than purchased followers — is the single most valuable launch asset the project possesses. The marketing strategy is designed to activate this base first, then leverage their network effects for external growth.</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8.2  Engagement Mechanics</w:t>
      </w:r>
    </w:p>
    <w:p>
      <w:pPr>
        <w:spacing w:before="80" w:after="80" w:line="280"/>
        <w:jc w:val="left"/>
      </w:pPr>
      <w:r>
        <w:rPr>
          <w:rFonts w:ascii="Arial" w:cs="Arial" w:eastAsia="Arial" w:hAnsi="Arial"/>
          <w:color w:val="1A2A44"/>
          <w:sz w:val="20"/>
          <w:szCs w:val="20"/>
        </w:rPr>
        <w:t xml:space="preserve">The rewritten marketing strategy incorporates three psychological engagement pillars identified in behavioral research on successful TMAs:</w:t>
      </w:r>
    </w:p>
    <w:p>
      <w:pPr>
        <w:spacing w:before="60" w:after="0"/>
      </w:pPr>
      <w:r>
        <w:t xml:space="preserve"/>
      </w:r>
    </w:p>
    <w:p>
      <w:pPr>
        <w:pStyle w:val="ListParagraph"/>
        <w:numPr>
          <w:ilvl w:val="0"/>
          <w:numId w:val="3"/>
        </w:numPr>
        <w:spacing w:before="40" w:after="40"/>
      </w:pPr>
      <w:r>
        <w:rPr>
          <w:rFonts w:ascii="Arial" w:cs="Arial" w:eastAsia="Arial" w:hAnsi="Arial"/>
          <w:b/>
          <w:bCs/>
          <w:color w:val="1A2A44"/>
          <w:sz w:val="20"/>
          <w:szCs w:val="20"/>
        </w:rPr>
        <w:t xml:space="preserve">Squad Mechanics (Social Proofing) — </w:t>
      </w:r>
      <w:r>
        <w:rPr>
          <w:rFonts w:ascii="Arial" w:cs="Arial" w:eastAsia="Arial" w:hAnsi="Arial"/>
          <w:color w:val="1A2A44"/>
          <w:sz w:val="20"/>
          <w:szCs w:val="20"/>
        </w:rPr>
        <w:t xml:space="preserve">Users earn enhanced rewards by forming or joining 'Squads' of 3–10 members. This creates social competition, belonging, and word-of-mouth growth as each user is incentivized to recruit their personal network.</w:t>
      </w:r>
    </w:p>
    <w:p>
      <w:pPr>
        <w:pStyle w:val="ListParagraph"/>
        <w:numPr>
          <w:ilvl w:val="0"/>
          <w:numId w:val="3"/>
        </w:numPr>
        <w:spacing w:before="40" w:after="40"/>
      </w:pPr>
      <w:r>
        <w:rPr>
          <w:rFonts w:ascii="Arial" w:cs="Arial" w:eastAsia="Arial" w:hAnsi="Arial"/>
          <w:b/>
          <w:bCs/>
          <w:color w:val="1A2A44"/>
          <w:sz w:val="20"/>
          <w:szCs w:val="20"/>
        </w:rPr>
        <w:t xml:space="preserve">Daily Ciphers and Retention Loops — </w:t>
      </w:r>
      <w:r>
        <w:rPr>
          <w:rFonts w:ascii="Arial" w:cs="Arial" w:eastAsia="Arial" w:hAnsi="Arial"/>
          <w:color w:val="1A2A44"/>
          <w:sz w:val="20"/>
          <w:szCs w:val="20"/>
        </w:rPr>
        <w:t xml:space="preserve">Daily challenges requiring login at specific intervals, combined with community puzzles and 'combo' events modeled on Hamster Kombat's proven retention framework. These create habitual engagement patterns and daily active user consistency.</w:t>
      </w:r>
    </w:p>
    <w:p>
      <w:pPr>
        <w:pStyle w:val="ListParagraph"/>
        <w:numPr>
          <w:ilvl w:val="0"/>
          <w:numId w:val="3"/>
        </w:numPr>
        <w:spacing w:before="40" w:after="40"/>
      </w:pPr>
      <w:r>
        <w:rPr>
          <w:rFonts w:ascii="Arial" w:cs="Arial" w:eastAsia="Arial" w:hAnsi="Arial"/>
          <w:b/>
          <w:bCs/>
          <w:color w:val="1A2A44"/>
          <w:sz w:val="20"/>
          <w:szCs w:val="20"/>
        </w:rPr>
        <w:t xml:space="preserve">AdsGram Watch-to-Earn Integration — </w:t>
      </w:r>
      <w:r>
        <w:rPr>
          <w:rFonts w:ascii="Arial" w:cs="Arial" w:eastAsia="Arial" w:hAnsi="Arial"/>
          <w:color w:val="1A2A44"/>
          <w:sz w:val="20"/>
          <w:szCs w:val="20"/>
        </w:rPr>
        <w:t xml:space="preserve">GEMI will integrate with AdsGram — a Telegram-native advertising platform with built-in bot-traffic filtering — to offer 'Watch-to-Earn' rewards. Unlike standard in-app ads, AdsGram revenue is sourced externally from advertisers, creating a non-inflationary income stream that can fund additional mining reward injections.</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8.3  External Growth</w:t>
      </w:r>
    </w:p>
    <w:p>
      <w:pPr>
        <w:pStyle w:val="ListParagraph"/>
        <w:numPr>
          <w:ilvl w:val="0"/>
          <w:numId w:val="4"/>
        </w:numPr>
        <w:spacing w:before="40" w:after="40"/>
      </w:pPr>
      <w:r>
        <w:rPr>
          <w:rFonts w:ascii="Arial" w:cs="Arial" w:eastAsia="Arial" w:hAnsi="Arial"/>
          <w:color w:val="1A2A44"/>
          <w:sz w:val="20"/>
          <w:szCs w:val="20"/>
        </w:rPr>
        <w:t xml:space="preserve">Micro-influencer campaigns within TON and Telegram crypto communities (100k–500k follower tier for higher authenticity-to-cost ratio versus macro-influencers)</w:t>
      </w:r>
    </w:p>
    <w:p>
      <w:pPr>
        <w:pStyle w:val="ListParagraph"/>
        <w:numPr>
          <w:ilvl w:val="0"/>
          <w:numId w:val="4"/>
        </w:numPr>
        <w:spacing w:before="40" w:after="40"/>
      </w:pPr>
      <w:r>
        <w:rPr>
          <w:rFonts w:ascii="Arial" w:cs="Arial" w:eastAsia="Arial" w:hAnsi="Arial"/>
          <w:color w:val="1A2A44"/>
          <w:sz w:val="20"/>
          <w:szCs w:val="20"/>
        </w:rPr>
        <w:t xml:space="preserve">Milestone-based transparency reports published at each roadmap completion to build credibility and press coverage</w:t>
      </w:r>
    </w:p>
    <w:p>
      <w:pPr>
        <w:pStyle w:val="ListParagraph"/>
        <w:numPr>
          <w:ilvl w:val="0"/>
          <w:numId w:val="4"/>
        </w:numPr>
        <w:spacing w:before="40" w:after="40"/>
      </w:pPr>
      <w:r>
        <w:rPr>
          <w:rFonts w:ascii="Arial" w:cs="Arial" w:eastAsia="Arial" w:hAnsi="Arial"/>
          <w:color w:val="1A2A44"/>
          <w:sz w:val="20"/>
          <w:szCs w:val="20"/>
        </w:rPr>
        <w:t xml:space="preserve">Pre-TGE incentive bonus: first 5,000 presale participants receive a 10% bonus allocation on their purchase</w:t>
      </w:r>
    </w:p>
    <w:p>
      <w:pPr>
        <w:pStyle w:val="ListParagraph"/>
        <w:numPr>
          <w:ilvl w:val="0"/>
          <w:numId w:val="4"/>
        </w:numPr>
        <w:spacing w:before="40" w:after="40"/>
      </w:pPr>
      <w:r>
        <w:rPr>
          <w:rFonts w:ascii="Arial" w:cs="Arial" w:eastAsia="Arial" w:hAnsi="Arial"/>
          <w:color w:val="1A2A44"/>
          <w:sz w:val="20"/>
          <w:szCs w:val="20"/>
        </w:rPr>
        <w:t xml:space="preserve">Cross-project promotional partnerships with other TON-ecosystem projects for mutual audience exposure</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8.4  Security Hygiene as Brand Equity</w:t>
      </w:r>
    </w:p>
    <w:p>
      <w:pPr>
        <w:spacing w:before="80" w:after="80" w:line="280"/>
        <w:jc w:val="both"/>
      </w:pPr>
      <w:r>
        <w:rPr>
          <w:rFonts w:ascii="Arial" w:cs="Arial" w:eastAsia="Arial" w:hAnsi="Arial"/>
          <w:color w:val="1A2A44"/>
          <w:sz w:val="20"/>
          <w:szCs w:val="20"/>
        </w:rPr>
        <w:t xml:space="preserve">Given the high prevalence of Telegram phishing scams and fake mini-app impersonators, GEMI will proactively publish a 'Security Hygiene' guide as a core part of its community communications. This guide will remind users to: access the app only via the verified official bot account (@gemifaucet_bot), never share seed phrases with any party, verify contract addresses against the official published list, and report suspicious impersonation accounts. This proactive stance differentiates GEMI from low-effort projects and builds significant brand trust.</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9. Legal Considerations and Risk Disclosures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4"/>
              <w:left w:val="single" w:color="C9A84C" w:sz="8"/>
              <w:bottom w:val="none" w:color="FFFFFF" w:sz="0"/>
              <w:right w:val="none" w:color="FFFFFF" w:sz="0"/>
            </w:tcBorders>
            <w:shd w:fill="1E3A6E" w:val="clear"/>
            <w:tcMar>
              <w:top w:type="dxa" w:w="120"/>
              <w:left w:type="dxa" w:w="200"/>
              <w:bottom w:type="dxa" w:w="120"/>
              <w:right w:type="dxa" w:w="200"/>
            </w:tcMar>
          </w:tcPr>
          <w:p>
            <w:pPr>
              <w:spacing w:before="60" w:after="80"/>
            </w:pPr>
            <w:r>
              <w:rPr>
                <w:rFonts w:ascii="Arial" w:cs="Arial" w:eastAsia="Arial" w:hAnsi="Arial"/>
                <w:b/>
                <w:bCs/>
                <w:color w:val="C9A84C"/>
                <w:sz w:val="20"/>
                <w:szCs w:val="20"/>
              </w:rPr>
              <w:t xml:space="preserve">Important Legal Notice</w:t>
            </w:r>
          </w:p>
          <w:p>
            <w:pPr>
              <w:pStyle w:val="ListParagraph"/>
              <w:numPr>
                <w:ilvl w:val="0"/>
                <w:numId w:val="2"/>
              </w:numPr>
              <w:spacing w:before="30" w:after="30"/>
            </w:pPr>
            <w:r>
              <w:rPr>
                <w:rFonts w:ascii="Arial" w:cs="Arial" w:eastAsia="Arial" w:hAnsi="Arial"/>
                <w:color w:val="E8EEF8"/>
                <w:sz w:val="19"/>
                <w:szCs w:val="19"/>
              </w:rPr>
              <w:t xml:space="preserve">This document does not constitute financial or investment advice of any kind.</w:t>
            </w:r>
          </w:p>
          <w:p>
            <w:pPr>
              <w:pStyle w:val="ListParagraph"/>
              <w:numPr>
                <w:ilvl w:val="0"/>
                <w:numId w:val="2"/>
              </w:numPr>
              <w:spacing w:before="30" w:after="30"/>
            </w:pPr>
            <w:r>
              <w:rPr>
                <w:rFonts w:ascii="Arial" w:cs="Arial" w:eastAsia="Arial" w:hAnsi="Arial"/>
                <w:color w:val="E8EEF8"/>
                <w:sz w:val="19"/>
                <w:szCs w:val="19"/>
              </w:rPr>
              <w:t xml:space="preserve">Purchasing GEMI tokens is for in-application utility within Gemifaucet only.</w:t>
            </w:r>
          </w:p>
          <w:p>
            <w:pPr>
              <w:pStyle w:val="ListParagraph"/>
              <w:numPr>
                <w:ilvl w:val="0"/>
                <w:numId w:val="2"/>
              </w:numPr>
              <w:spacing w:before="30" w:after="30"/>
            </w:pPr>
            <w:r>
              <w:rPr>
                <w:rFonts w:ascii="Arial" w:cs="Arial" w:eastAsia="Arial" w:hAnsi="Arial"/>
                <w:color w:val="E8EEF8"/>
                <w:sz w:val="19"/>
                <w:szCs w:val="19"/>
              </w:rPr>
              <w:t xml:space="preserve">GEMI tokens do not represent equity, ownership, or profit-sharing in any legal entity.</w:t>
            </w:r>
          </w:p>
          <w:p>
            <w:pPr>
              <w:pStyle w:val="ListParagraph"/>
              <w:numPr>
                <w:ilvl w:val="0"/>
                <w:numId w:val="2"/>
              </w:numPr>
              <w:spacing w:before="30" w:after="30"/>
            </w:pPr>
            <w:r>
              <w:rPr>
                <w:rFonts w:ascii="Arial" w:cs="Arial" w:eastAsia="Arial" w:hAnsi="Arial"/>
                <w:color w:val="E8EEF8"/>
                <w:sz w:val="19"/>
                <w:szCs w:val="19"/>
              </w:rPr>
              <w:t xml:space="preserve">All purchasers must independently assess risk. Digital assets may lose all value.</w:t>
            </w:r>
          </w:p>
        </w:tc>
      </w:tr>
    </w:tbl>
    <w:p>
      <w:pPr>
        <w:spacing w:before="100" w:after="0"/>
      </w:pPr>
      <w:r>
        <w:t xml:space="preserve"/>
      </w:r>
    </w:p>
    <w:p>
      <w:pPr>
        <w:pStyle w:val="Heading2"/>
        <w:spacing w:before="280" w:after="120"/>
      </w:pPr>
      <w:r>
        <w:rPr>
          <w:rFonts w:ascii="Arial" w:cs="Arial" w:eastAsia="Arial" w:hAnsi="Arial"/>
          <w:b/>
          <w:bCs/>
          <w:color w:val="1E3A6E"/>
          <w:sz w:val="26"/>
          <w:szCs w:val="26"/>
        </w:rPr>
        <w:t xml:space="preserve">9.1  Nature of GEMI Tokens</w:t>
      </w:r>
    </w:p>
    <w:p>
      <w:pPr>
        <w:spacing w:before="80" w:after="80" w:line="280"/>
        <w:jc w:val="both"/>
      </w:pPr>
      <w:r>
        <w:rPr>
          <w:rFonts w:ascii="Arial" w:cs="Arial" w:eastAsia="Arial" w:hAnsi="Arial"/>
          <w:color w:val="1A2A44"/>
          <w:sz w:val="20"/>
          <w:szCs w:val="20"/>
        </w:rPr>
        <w:t xml:space="preserve">GEMI tokens are utility tokens designed to function as the in-app currency within the Gemifaucet Telegram Mini-App ecosystem. They provide holders with the ability to access premium features, enhance mining rewards, and participate in the in-app economy described in this document. GEMI tokens do not represent: (a) any form of investment contract, (b) equity or ownership interest in any company or project, (c) entitlement to dividends, revenue share, or future profits, (d) any guarantee of future value, liquidity, or market trading.</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9.2  Jurisdictional Restrictions</w:t>
      </w:r>
    </w:p>
    <w:p>
      <w:pPr>
        <w:spacing w:before="80" w:after="80" w:line="280"/>
        <w:jc w:val="both"/>
      </w:pPr>
      <w:r>
        <w:rPr>
          <w:rFonts w:ascii="Arial" w:cs="Arial" w:eastAsia="Arial" w:hAnsi="Arial"/>
          <w:color w:val="1A2A44"/>
          <w:sz w:val="20"/>
          <w:szCs w:val="20"/>
        </w:rPr>
        <w:t xml:space="preserve">Residents, citizens, and tax residents of the following jurisdictions are strictly prohibited from purchasing GEMI tokens in any presale, public sale, or secondary market offering facilitated directly by the GEMI project: the United States of America and its territories, the People's Republic of China, Democratic People's Republic of Korea (North Korea), Iran, Syria, Cuba, and any jurisdiction designated as a sanctioned territory by the UN Security Council, OFAC, or equivalent regulatory body at the time of purchase. It is the sole responsibility of the purchaser to determine and comply with the applicable regulations of their jurisdiction.</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9.3  Risk Disclosures</w:t>
      </w:r>
    </w:p>
    <w:p>
      <w:pPr>
        <w:spacing w:before="80" w:after="80" w:line="280"/>
        <w:jc w:val="left"/>
      </w:pPr>
      <w:r>
        <w:rPr>
          <w:rFonts w:ascii="Arial" w:cs="Arial" w:eastAsia="Arial" w:hAnsi="Arial"/>
          <w:color w:val="1A2A44"/>
          <w:sz w:val="20"/>
          <w:szCs w:val="20"/>
        </w:rPr>
        <w:t xml:space="preserve">Prospective participants acknowledge and accept the following material risks:</w:t>
      </w:r>
    </w:p>
    <w:p>
      <w:pPr>
        <w:spacing w:before="40" w:after="0"/>
      </w:pPr>
      <w:r>
        <w:t xml:space="preserve"/>
      </w:r>
    </w:p>
    <w:p>
      <w:pPr>
        <w:pStyle w:val="ListParagraph"/>
        <w:numPr>
          <w:ilvl w:val="0"/>
          <w:numId w:val="3"/>
        </w:numPr>
        <w:spacing w:before="40" w:after="40"/>
      </w:pPr>
      <w:r>
        <w:rPr>
          <w:rFonts w:ascii="Arial" w:cs="Arial" w:eastAsia="Arial" w:hAnsi="Arial"/>
          <w:b/>
          <w:bCs/>
          <w:color w:val="1A2A44"/>
          <w:sz w:val="20"/>
          <w:szCs w:val="20"/>
        </w:rPr>
        <w:t xml:space="preserve">Total Loss of Value — </w:t>
      </w:r>
      <w:r>
        <w:rPr>
          <w:rFonts w:ascii="Arial" w:cs="Arial" w:eastAsia="Arial" w:hAnsi="Arial"/>
          <w:color w:val="1A2A44"/>
          <w:sz w:val="20"/>
          <w:szCs w:val="20"/>
        </w:rPr>
        <w:t xml:space="preserve">GEMI tokens may decrease in value to zero at any time due to market forces, regulatory action, technical failure, competitive dynamics, or any other factor. Past performance of comparable projects is not indicative of future results.</w:t>
      </w:r>
    </w:p>
    <w:p>
      <w:pPr>
        <w:pStyle w:val="ListParagraph"/>
        <w:numPr>
          <w:ilvl w:val="0"/>
          <w:numId w:val="3"/>
        </w:numPr>
        <w:spacing w:before="40" w:after="40"/>
      </w:pPr>
      <w:r>
        <w:rPr>
          <w:rFonts w:ascii="Arial" w:cs="Arial" w:eastAsia="Arial" w:hAnsi="Arial"/>
          <w:b/>
          <w:bCs/>
          <w:color w:val="1A2A44"/>
          <w:sz w:val="20"/>
          <w:szCs w:val="20"/>
        </w:rPr>
        <w:t xml:space="preserve">Regulatory Risk — </w:t>
      </w:r>
      <w:r>
        <w:rPr>
          <w:rFonts w:ascii="Arial" w:cs="Arial" w:eastAsia="Arial" w:hAnsi="Arial"/>
          <w:color w:val="1A2A44"/>
          <w:sz w:val="20"/>
          <w:szCs w:val="20"/>
        </w:rPr>
        <w:t xml:space="preserve">The digital asset regulatory environment is evolving rapidly. Future regulatory actions by any government could adversely affect the value, transferability, or legality of GEMI tokens in one or more jurisdictions.</w:t>
      </w:r>
    </w:p>
    <w:p>
      <w:pPr>
        <w:pStyle w:val="ListParagraph"/>
        <w:numPr>
          <w:ilvl w:val="0"/>
          <w:numId w:val="3"/>
        </w:numPr>
        <w:spacing w:before="40" w:after="40"/>
      </w:pPr>
      <w:r>
        <w:rPr>
          <w:rFonts w:ascii="Arial" w:cs="Arial" w:eastAsia="Arial" w:hAnsi="Arial"/>
          <w:b/>
          <w:bCs/>
          <w:color w:val="1A2A44"/>
          <w:sz w:val="20"/>
          <w:szCs w:val="20"/>
        </w:rPr>
        <w:t xml:space="preserve">Smart Contract Risk — </w:t>
      </w:r>
      <w:r>
        <w:rPr>
          <w:rFonts w:ascii="Arial" w:cs="Arial" w:eastAsia="Arial" w:hAnsi="Arial"/>
          <w:color w:val="1A2A44"/>
          <w:sz w:val="20"/>
          <w:szCs w:val="20"/>
        </w:rPr>
        <w:t xml:space="preserve">Despite third-party audits, smart contracts may contain undiscovered vulnerabilities. Exploits, hacks, or unforeseen technical failures could result in partial or total loss of funds.</w:t>
      </w:r>
    </w:p>
    <w:p>
      <w:pPr>
        <w:pStyle w:val="ListParagraph"/>
        <w:numPr>
          <w:ilvl w:val="0"/>
          <w:numId w:val="3"/>
        </w:numPr>
        <w:spacing w:before="40" w:after="40"/>
      </w:pPr>
      <w:r>
        <w:rPr>
          <w:rFonts w:ascii="Arial" w:cs="Arial" w:eastAsia="Arial" w:hAnsi="Arial"/>
          <w:b/>
          <w:bCs/>
          <w:color w:val="1A2A44"/>
          <w:sz w:val="20"/>
          <w:szCs w:val="20"/>
        </w:rPr>
        <w:t xml:space="preserve">Liquidity Risk — </w:t>
      </w:r>
      <w:r>
        <w:rPr>
          <w:rFonts w:ascii="Arial" w:cs="Arial" w:eastAsia="Arial" w:hAnsi="Arial"/>
          <w:color w:val="1A2A44"/>
          <w:sz w:val="20"/>
          <w:szCs w:val="20"/>
        </w:rPr>
        <w:t xml:space="preserve">Liquidity pools on decentralized exchanges are subject to price impact from large trades, low-activity periods, or liquidity withdrawal. There is no guarantee that a liquid market for GEMI will exist at any given time.</w:t>
      </w:r>
    </w:p>
    <w:p>
      <w:pPr>
        <w:pStyle w:val="ListParagraph"/>
        <w:numPr>
          <w:ilvl w:val="0"/>
          <w:numId w:val="3"/>
        </w:numPr>
        <w:spacing w:before="40" w:after="40"/>
      </w:pPr>
      <w:r>
        <w:rPr>
          <w:rFonts w:ascii="Arial" w:cs="Arial" w:eastAsia="Arial" w:hAnsi="Arial"/>
          <w:b/>
          <w:bCs/>
          <w:color w:val="1A2A44"/>
          <w:sz w:val="20"/>
          <w:szCs w:val="20"/>
        </w:rPr>
        <w:t xml:space="preserve">Technology and Platform Risk — </w:t>
      </w:r>
      <w:r>
        <w:rPr>
          <w:rFonts w:ascii="Arial" w:cs="Arial" w:eastAsia="Arial" w:hAnsi="Arial"/>
          <w:color w:val="1A2A44"/>
          <w:sz w:val="20"/>
          <w:szCs w:val="20"/>
        </w:rPr>
        <w:t xml:space="preserve">The TON blockchain, Telegram platform, or dependent infrastructure may experience downtime, forks, or protocol changes that adversely affect the GEMI ecosystem.</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9.4  MiCA Compliance (European Union)</w:t>
      </w:r>
    </w:p>
    <w:p>
      <w:pPr>
        <w:spacing w:before="80" w:after="80" w:line="280"/>
        <w:jc w:val="both"/>
      </w:pPr>
      <w:r>
        <w:rPr>
          <w:rFonts w:ascii="Arial" w:cs="Arial" w:eastAsia="Arial" w:hAnsi="Arial"/>
          <w:color w:val="1A2A44"/>
          <w:sz w:val="20"/>
          <w:szCs w:val="20"/>
        </w:rPr>
        <w:t xml:space="preserve">For operations within the European Union, GEMI will prepare a compliant whitepaper pursuant to Title IV of Regulation (EU) 2023/1114 (Markets in Crypto-Assets Regulation, MiCAR). This document will be 'fair, clear, and not misleading' as required, and will be notified to the relevant National Competent Authority (NCA) in the project's operating jurisdiction prior to public distribution within EU member states. The project will monitor the MiCA regulatory implementation timeline and engage legal counsel in Germany (BaFin) or France (AMF) as appropriate based on entity incorporation jurisdiction.</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9.5  No Guarantee of Listing or Liquidity</w:t>
      </w:r>
    </w:p>
    <w:p>
      <w:pPr>
        <w:spacing w:before="80" w:after="80" w:line="280"/>
        <w:jc w:val="both"/>
      </w:pPr>
      <w:r>
        <w:rPr>
          <w:rFonts w:ascii="Arial" w:cs="Arial" w:eastAsia="Arial" w:hAnsi="Arial"/>
          <w:color w:val="1A2A44"/>
          <w:sz w:val="20"/>
          <w:szCs w:val="20"/>
        </w:rPr>
        <w:t xml:space="preserve">While the project intends to list GEMI on STON.fi and DeDust, all DEX listings are subject to each platform's independent review and approval process. The GEMI project makes no guarantee that listings will be approved, maintained, or that any specific level of liquidity will be maintained on any platform at any time.</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10. Governance: Path to Decentralization</w:t>
      </w:r>
    </w:p>
    <w:p>
      <w:pPr>
        <w:spacing w:before="80" w:after="80" w:line="280"/>
        <w:jc w:val="both"/>
      </w:pPr>
      <w:r>
        <w:rPr>
          <w:rFonts w:ascii="Arial" w:cs="Arial" w:eastAsia="Arial" w:hAnsi="Arial"/>
          <w:color w:val="1A2A44"/>
          <w:sz w:val="20"/>
          <w:szCs w:val="20"/>
        </w:rPr>
        <w:t xml:space="preserve">GEMI is designed from inception with a clear transition toward community governance. The founders recognize that long-term token ecosystem health is maximized when key economic parameters are governed by stakeholders — the token holders themselves — rather than a centralized team that may have misaligned incentives over time.</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10.1  Phase 5 DAO Architecture</w:t>
      </w:r>
    </w:p>
    <w:p>
      <w:pPr>
        <w:spacing w:before="80" w:after="80" w:line="280"/>
        <w:jc w:val="both"/>
      </w:pPr>
      <w:r>
        <w:rPr>
          <w:rFonts w:ascii="Arial" w:cs="Arial" w:eastAsia="Arial" w:hAnsi="Arial"/>
          <w:color w:val="1A2A44"/>
          <w:sz w:val="20"/>
          <w:szCs w:val="20"/>
        </w:rPr>
        <w:t xml:space="preserve">Beginning in Month 13, GEMI will introduce a DAO governance module. GEMI token holders will be able to vote on key protocol parameters including: the emission decay constant k (within a 20% variance band of the current value), the percentage of In-App Shop spend that is burned versus redistributed (within a 10%–40% burn range), eligibility criteria for Squad bonus mechanics, new Mining Package tier configurations, and Treasury fund allocation priorities.</w:t>
      </w:r>
    </w:p>
    <w:p>
      <w:pPr>
        <w:spacing w:before="60" w:after="0"/>
      </w:pPr>
      <w:r>
        <w:t xml:space="preserve"/>
      </w:r>
    </w:p>
    <w:p>
      <w:pPr>
        <w:spacing w:before="80" w:after="80" w:line="280"/>
        <w:jc w:val="both"/>
      </w:pPr>
      <w:r>
        <w:rPr>
          <w:rFonts w:ascii="Arial" w:cs="Arial" w:eastAsia="Arial" w:hAnsi="Arial"/>
          <w:color w:val="1A2A44"/>
          <w:sz w:val="20"/>
          <w:szCs w:val="20"/>
        </w:rPr>
        <w:t xml:space="preserve">Voting weight will be proportional to GEMI holdings at the time of a governance snapshot, with a minimum 0.1% of circulating supply required to submit a governance proposal. This ensures governance is accessible to committed stakeholders while preventing trivial spam proposals.</w:t>
      </w:r>
    </w:p>
    <w:p>
      <w:pPr>
        <w:spacing w:before="80" w:after="0"/>
      </w:pPr>
      <w:r>
        <w:t xml:space="preserve"/>
      </w:r>
    </w:p>
    <w:p>
      <w:pPr>
        <w:pStyle w:val="Heading2"/>
        <w:spacing w:before="280" w:after="120"/>
      </w:pPr>
      <w:r>
        <w:rPr>
          <w:rFonts w:ascii="Arial" w:cs="Arial" w:eastAsia="Arial" w:hAnsi="Arial"/>
          <w:b/>
          <w:bCs/>
          <w:color w:val="1E3A6E"/>
          <w:sz w:val="26"/>
          <w:szCs w:val="26"/>
        </w:rPr>
        <w:t xml:space="preserve">10.2  Multi-Signature Treasury</w:t>
      </w:r>
    </w:p>
    <w:p>
      <w:pPr>
        <w:spacing w:before="80" w:after="80" w:line="280"/>
        <w:jc w:val="both"/>
      </w:pPr>
      <w:r>
        <w:rPr>
          <w:rFonts w:ascii="Arial" w:cs="Arial" w:eastAsia="Arial" w:hAnsi="Arial"/>
          <w:color w:val="1A2A44"/>
          <w:sz w:val="20"/>
          <w:szCs w:val="20"/>
        </w:rPr>
        <w:t xml:space="preserve">From TGE onwards, all Ecosystem Treasury funds will be held in a 3-of-5 multi-signature TON wallet, with keyholders including 2 founding team members, 1 legal advisor, and 2 elected community representatives. No Treasury disbursement exceeding 100,000 GEMI or $5,000 USD equivalent will be possible without multi-sig approval, providing institutional-grade financial governance from day one.</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11. Team and Transparency</w:t>
      </w:r>
    </w:p>
    <w:p>
      <w:pPr>
        <w:spacing w:before="80" w:after="80" w:line="280"/>
        <w:jc w:val="both"/>
      </w:pPr>
      <w:r>
        <w:rPr>
          <w:rFonts w:ascii="Arial" w:cs="Arial" w:eastAsia="Arial" w:hAnsi="Arial"/>
          <w:color w:val="1A2A44"/>
          <w:sz w:val="20"/>
          <w:szCs w:val="20"/>
        </w:rPr>
        <w:t xml:space="preserve">The GEMI project was founded by the development team behind the existing Gemifaucet Telegram Mini-App. The founding team combines expertise in Telegram Mini-App development, TON smart contract engineering, and community management within the TON ecosystem. Full team profiles, including verifiable on-chain track records, will be published on the official project website and Telegram channel prior to the presale launch.</w:t>
      </w:r>
    </w:p>
    <w:p>
      <w:pPr>
        <w:spacing w:before="80" w:after="0"/>
      </w:pPr>
      <w:r>
        <w:t xml:space="preserve"/>
      </w:r>
    </w:p>
    <w:p>
      <w:pPr>
        <w:spacing w:before="80" w:after="80" w:line="280"/>
        <w:jc w:val="both"/>
      </w:pPr>
      <w:r>
        <w:rPr>
          <w:rFonts w:ascii="Arial" w:cs="Arial" w:eastAsia="Arial" w:hAnsi="Arial"/>
          <w:color w:val="1A2A44"/>
          <w:sz w:val="20"/>
          <w:szCs w:val="20"/>
        </w:rPr>
        <w:t xml:space="preserve">The project commits to the following transparency standards:</w:t>
      </w:r>
    </w:p>
    <w:p>
      <w:pPr>
        <w:pStyle w:val="ListParagraph"/>
        <w:numPr>
          <w:ilvl w:val="0"/>
          <w:numId w:val="4"/>
        </w:numPr>
        <w:spacing w:before="40" w:after="40"/>
      </w:pPr>
      <w:r>
        <w:rPr>
          <w:rFonts w:ascii="Arial" w:cs="Arial" w:eastAsia="Arial" w:hAnsi="Arial"/>
          <w:color w:val="1A2A44"/>
          <w:sz w:val="20"/>
          <w:szCs w:val="20"/>
        </w:rPr>
        <w:t xml:space="preserve">Monthly publicly accessible development updates via the official Telegram channel</w:t>
      </w:r>
    </w:p>
    <w:p>
      <w:pPr>
        <w:pStyle w:val="ListParagraph"/>
        <w:numPr>
          <w:ilvl w:val="0"/>
          <w:numId w:val="4"/>
        </w:numPr>
        <w:spacing w:before="40" w:after="40"/>
      </w:pPr>
      <w:r>
        <w:rPr>
          <w:rFonts w:ascii="Arial" w:cs="Arial" w:eastAsia="Arial" w:hAnsi="Arial"/>
          <w:color w:val="1A2A44"/>
          <w:sz w:val="20"/>
          <w:szCs w:val="20"/>
        </w:rPr>
        <w:t xml:space="preserve">Quarterly tokenomic health reports detailing circulating supply, burn statistics, UAW counts, and liquidity depth</w:t>
      </w:r>
    </w:p>
    <w:p>
      <w:pPr>
        <w:pStyle w:val="ListParagraph"/>
        <w:numPr>
          <w:ilvl w:val="0"/>
          <w:numId w:val="4"/>
        </w:numPr>
        <w:spacing w:before="40" w:after="40"/>
      </w:pPr>
      <w:r>
        <w:rPr>
          <w:rFonts w:ascii="Arial" w:cs="Arial" w:eastAsia="Arial" w:hAnsi="Arial"/>
          <w:color w:val="1A2A44"/>
          <w:sz w:val="20"/>
          <w:szCs w:val="20"/>
        </w:rPr>
        <w:t xml:space="preserve">All contract addresses, vesting contract addresses, and liquidity lock proof links published and maintained on the official website</w:t>
      </w:r>
    </w:p>
    <w:p>
      <w:pPr>
        <w:pStyle w:val="ListParagraph"/>
        <w:numPr>
          <w:ilvl w:val="0"/>
          <w:numId w:val="4"/>
        </w:numPr>
        <w:spacing w:before="40" w:after="40"/>
      </w:pPr>
      <w:r>
        <w:rPr>
          <w:rFonts w:ascii="Arial" w:cs="Arial" w:eastAsia="Arial" w:hAnsi="Arial"/>
          <w:color w:val="1A2A44"/>
          <w:sz w:val="20"/>
          <w:szCs w:val="20"/>
        </w:rPr>
        <w:t xml:space="preserve">Full third-party audit report published before presale opens — no exceptions</w:t>
      </w:r>
    </w:p>
    <w:p>
      <w:pPr>
        <w:pStyle w:val="ListParagraph"/>
        <w:numPr>
          <w:ilvl w:val="0"/>
          <w:numId w:val="4"/>
        </w:numPr>
        <w:spacing w:before="40" w:after="40"/>
      </w:pPr>
      <w:r>
        <w:rPr>
          <w:rFonts w:ascii="Arial" w:cs="Arial" w:eastAsia="Arial" w:hAnsi="Arial"/>
          <w:color w:val="1A2A44"/>
          <w:sz w:val="20"/>
          <w:szCs w:val="20"/>
        </w:rPr>
        <w:t xml:space="preserve">Any team member departure disclosed within 14 days to the community with an explanation of continuity plan</w:t>
      </w:r>
    </w:p>
    <w:p>
      <w:r>
        <w:br w:type="page"/>
      </w:r>
    </w:p>
    <w:p>
      <w:pPr>
        <w:pStyle w:val="Heading1"/>
        <w:pBdr>
          <w:bottom w:val="single" w:color="C9A84C" w:sz="4" w:space="4"/>
        </w:pBdr>
        <w:spacing w:before="400" w:after="160"/>
      </w:pPr>
      <w:r>
        <w:rPr>
          <w:rFonts w:ascii="Arial" w:cs="Arial" w:eastAsia="Arial" w:hAnsi="Arial"/>
          <w:b/>
          <w:bCs/>
          <w:color w:val="0A1628"/>
          <w:sz w:val="32"/>
          <w:szCs w:val="32"/>
        </w:rPr>
        <w:t xml:space="preserve">12. Conclusion</w:t>
      </w:r>
    </w:p>
    <w:p>
      <w:pPr>
        <w:spacing w:before="80" w:after="80" w:line="280"/>
        <w:jc w:val="both"/>
      </w:pPr>
      <w:r>
        <w:rPr>
          <w:rFonts w:ascii="Arial" w:cs="Arial" w:eastAsia="Arial" w:hAnsi="Arial"/>
          <w:color w:val="1A2A44"/>
          <w:sz w:val="20"/>
          <w:szCs w:val="20"/>
        </w:rPr>
        <w:t xml:space="preserve">GEMI represents a mature, rigorously designed evolution of the Telegram faucet-economy model. Where early projects treated tokenomics as an afterthought and launched into the market with insufficient liquidity, vague emission controls, and no legal framework, GEMI is architected from the ground up to survive the competitive and regulatory realities of the TON ecosystem in 2026 and beyond.</w:t>
      </w:r>
    </w:p>
    <w:p>
      <w:pPr>
        <w:spacing w:before="80" w:after="0"/>
      </w:pPr>
      <w:r>
        <w:t xml:space="preserve"/>
      </w:r>
    </w:p>
    <w:p>
      <w:pPr>
        <w:spacing w:before="80" w:after="80" w:line="280"/>
        <w:jc w:val="both"/>
      </w:pPr>
      <w:r>
        <w:rPr>
          <w:rFonts w:ascii="Arial" w:cs="Arial" w:eastAsia="Arial" w:hAnsi="Arial"/>
          <w:color w:val="1A2A44"/>
          <w:sz w:val="20"/>
          <w:szCs w:val="20"/>
        </w:rPr>
        <w:t xml:space="preserve">By deploying on the Jetton 2.0 standard for shardchain-optimized performance, enforcing team alignment through on-chain TEP-74 vesting contracts, establishing an institutional-grade liquidity foundation of $50,000+, integrating comprehensive anti-fraud architecture to protect genuine users, and committing to full MiCA compliance for European operations, GEMI transforms from a 'faucet token' into a credible, sustainable micro-economy asset.</w:t>
      </w:r>
    </w:p>
    <w:p>
      <w:pPr>
        <w:spacing w:before="80" w:after="0"/>
      </w:pPr>
      <w:r>
        <w:t xml:space="preserve"/>
      </w:r>
    </w:p>
    <w:p>
      <w:pPr>
        <w:spacing w:before="80" w:after="80" w:line="280"/>
        <w:jc w:val="both"/>
      </w:pPr>
      <w:r>
        <w:rPr>
          <w:rFonts w:ascii="Arial" w:cs="Arial" w:eastAsia="Arial" w:hAnsi="Arial"/>
          <w:color w:val="1A2A44"/>
          <w:sz w:val="20"/>
          <w:szCs w:val="20"/>
        </w:rPr>
        <w:t xml:space="preserve">The path from 28,000 Telegram users to 50,000+ active GEMI wallets is clear, concrete, and backed by the mathematical rigor, technical depth, and economic sustainability that serious Web3 participants demand. GEMI's vision is not a short-term liquidity event — it is the creation of a resilient, community-governed token economy that outlasts the inevitable market cycles and delivers lasting value to its ecosystem of participants.</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628" w:val="clear"/>
            <w:tcMar>
              <w:top w:type="dxa" w:w="200"/>
              <w:left w:type="dxa" w:w="300"/>
              <w:bottom w:type="dxa" w:w="200"/>
              <w:right w:type="dxa" w:w="300"/>
            </w:tcMar>
          </w:tcPr>
          <w:p>
            <w:pPr>
              <w:jc w:val="center"/>
            </w:pPr>
            <w:r>
              <w:rPr>
                <w:rFonts w:ascii="Arial" w:cs="Arial" w:eastAsia="Arial" w:hAnsi="Arial"/>
                <w:b/>
                <w:bCs/>
                <w:color w:val="C9A84C"/>
                <w:sz w:val="22"/>
                <w:szCs w:val="22"/>
              </w:rPr>
              <w:t xml:space="preserve">GEMI Token Official Channels</w:t>
            </w:r>
          </w:p>
          <w:p>
            <w:pPr>
              <w:spacing w:before="40" w:after="0"/>
            </w:pPr>
            <w:r>
              <w:t xml:space="preserve"/>
            </w:r>
          </w:p>
          <w:p>
            <w:pPr>
              <w:jc w:val="center"/>
            </w:pPr>
            <w:r>
              <w:rPr>
                <w:rFonts w:ascii="Arial" w:cs="Arial" w:eastAsia="Arial" w:hAnsi="Arial"/>
                <w:color w:val="A8BEDD"/>
                <w:sz w:val="18"/>
                <w:szCs w:val="18"/>
              </w:rPr>
              <w:t xml:space="preserve">Telegram: @gemifaucet_bot  |  Website: [gemifaucet.com]  |  Support: [support@gemifaucet.com]</w:t>
            </w:r>
          </w:p>
          <w:p>
            <w:pPr>
              <w:spacing w:before="20" w:after="0"/>
            </w:pPr>
            <w:r>
              <w:t xml:space="preserve"/>
            </w:r>
          </w:p>
          <w:p>
            <w:pPr>
              <w:jc w:val="center"/>
            </w:pPr>
            <w:r>
              <w:rPr>
                <w:rFonts w:ascii="Arial" w:cs="Arial" w:eastAsia="Arial" w:hAnsi="Arial"/>
                <w:i/>
                <w:iCs/>
                <w:color w:val="6080A0"/>
                <w:sz w:val="16"/>
                <w:szCs w:val="16"/>
              </w:rPr>
              <w:t xml:space="preserve">Always verify you are using the official channel. Never share your seed phrase with anyone.</w:t>
            </w:r>
          </w:p>
        </w:tc>
      </w:tr>
    </w:tbl>
    <w:sectPr>
      <w:headerReference w:type="default" r:id="rId6"/>
      <w:footerReference w:type="default" r:id="rId7"/>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CFE8" w:sz="2" w:space="2"/>
      </w:pBdr>
      <w:jc w:val="center"/>
    </w:pPr>
    <w:r>
      <w:rPr>
        <w:rFonts w:ascii="Arial" w:cs="Arial" w:eastAsia="Arial" w:hAnsi="Arial"/>
        <w:color w:val="4A5568"/>
        <w:sz w:val="16"/>
        <w:szCs w:val="16"/>
      </w:rPr>
      <w:t xml:space="preserve">Page </w:t>
    </w:r>
    <w:r>
      <w:rPr>
        <w:rFonts w:ascii="Arial" w:cs="Arial" w:eastAsia="Arial" w:hAnsi="Arial"/>
        <w:color w:val="4A5568"/>
        <w:sz w:val="16"/>
        <w:szCs w:val="16"/>
      </w:rPr>
      <w:fldChar w:fldCharType="begin"/>
      <w:instrText xml:space="preserve">PAGE</w:instrText>
      <w:fldChar w:fldCharType="separate"/>
      <w:fldChar w:fldCharType="end"/>
    </w:r>
    <w:r>
      <w:rPr>
        <w:rFonts w:ascii="Arial" w:cs="Arial" w:eastAsia="Arial" w:hAnsi="Arial"/>
        <w:color w:val="4A5568"/>
        <w:sz w:val="16"/>
        <w:szCs w:val="16"/>
      </w:rPr>
      <w:t xml:space="preserve">  |  GEMI Token Whitepaper 2026  |  Confidential — Not Investment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space="4"/>
      </w:pBdr>
      <w:jc w:val="right"/>
    </w:pPr>
    <w:r>
      <w:rPr>
        <w:rFonts w:ascii="Arial" w:cs="Arial" w:eastAsia="Arial" w:hAnsi="Arial"/>
        <w:color w:val="4A5568"/>
        <w:sz w:val="18"/>
        <w:szCs w:val="18"/>
      </w:rPr>
      <w:t xml:space="preserve">GEMI Token  |  Official Whitepaper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360" w:hanging="240"/>
      </w:pPr>
      <w:rPr>
        <w:color w:val="FFFFFF"/>
      </w:r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A1628"/>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1E3A6E"/>
      <w:sz w:val="26"/>
      <w:szCs w:val="26"/>
    </w:rPr>
  </w:style>
  <w:style w:type="paragraph" w:styleId="Heading3">
    <w:name w:val="Heading 3"/>
    <w:basedOn w:val="Normal"/>
    <w:next w:val="Normal"/>
    <w:qFormat/>
    <w:pPr>
      <w:spacing w:before="200" w:after="80"/>
      <w:outlineLvl w:val="2"/>
    </w:pPr>
    <w:rPr>
      <w:rFonts w:ascii="Arial" w:cs="Arial" w:eastAsia="Arial" w:hAnsi="Arial"/>
      <w:b/>
      <w:bCs/>
      <w:color w:val="2E5BA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2026-03-19T09:01:18.080Z</dcterms:created>
  <dcterms:modified xsi:type="dcterms:W3CDTF">2026-03-19T09:01:18.081Z</dcterms:modified>
</cp:coreProperties>
</file>

<file path=docProps/custom.xml><?xml version="1.0" encoding="utf-8"?>
<Properties xmlns="http://schemas.openxmlformats.org/officeDocument/2006/custom-properties" xmlns:vt="http://schemas.openxmlformats.org/officeDocument/2006/docPropsVTypes"/>
</file>